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4322D" w:rsidRPr="005C26E6" w14:paraId="1C670241" w14:textId="10FE78BF" w:rsidTr="00AB016D">
        <w:tc>
          <w:tcPr>
            <w:tcW w:w="9639" w:type="dxa"/>
          </w:tcPr>
          <w:p w14:paraId="676AABCB" w14:textId="77777777" w:rsidR="0074322D" w:rsidRDefault="0074322D" w:rsidP="007D758F">
            <w:pPr>
              <w:tabs>
                <w:tab w:val="left" w:pos="432"/>
                <w:tab w:val="center" w:pos="4567"/>
              </w:tabs>
              <w:jc w:val="center"/>
              <w:rPr>
                <w:sz w:val="28"/>
                <w:szCs w:val="28"/>
                <w:lang w:val="ka-GE"/>
              </w:rPr>
            </w:pPr>
            <w:bookmarkStart w:id="0" w:name="_GoBack"/>
            <w:bookmarkEnd w:id="0"/>
            <w:r>
              <w:rPr>
                <w:sz w:val="28"/>
                <w:szCs w:val="28"/>
                <w:lang w:val="ka-GE"/>
              </w:rPr>
              <w:t>იპოთეკით დაცული ობლიგაციების მარეგულირებელი წესი</w:t>
            </w:r>
          </w:p>
          <w:p w14:paraId="0D6AE685" w14:textId="04811762" w:rsidR="00AB016D" w:rsidRPr="00AB016D" w:rsidRDefault="00AB016D" w:rsidP="00AB016D">
            <w:pPr>
              <w:tabs>
                <w:tab w:val="left" w:pos="432"/>
                <w:tab w:val="center" w:pos="4567"/>
              </w:tabs>
              <w:jc w:val="both"/>
              <w:rPr>
                <w:sz w:val="28"/>
                <w:szCs w:val="28"/>
                <w:lang w:val="ka-GE"/>
              </w:rPr>
            </w:pPr>
          </w:p>
        </w:tc>
      </w:tr>
      <w:tr w:rsidR="0074322D" w:rsidRPr="005C26E6" w14:paraId="1E18A5E0" w14:textId="591A3975" w:rsidTr="00AB016D">
        <w:tc>
          <w:tcPr>
            <w:tcW w:w="9639" w:type="dxa"/>
          </w:tcPr>
          <w:p w14:paraId="5E1B1FBC" w14:textId="03D22C09" w:rsidR="0074322D" w:rsidRPr="007D758F" w:rsidRDefault="0074322D" w:rsidP="00AB016D">
            <w:pPr>
              <w:pStyle w:val="Heading3"/>
              <w:spacing w:after="160"/>
              <w:jc w:val="both"/>
              <w:outlineLvl w:val="2"/>
              <w:rPr>
                <w:b/>
                <w:sz w:val="22"/>
                <w:szCs w:val="22"/>
                <w:lang w:val="ka-GE"/>
              </w:rPr>
            </w:pPr>
            <w:r w:rsidRPr="007D758F">
              <w:rPr>
                <w:rFonts w:ascii="Sylfaen" w:hAnsi="Sylfaen"/>
                <w:b/>
                <w:color w:val="000000" w:themeColor="text1"/>
                <w:sz w:val="22"/>
                <w:szCs w:val="22"/>
                <w:lang w:val="ka-GE"/>
              </w:rPr>
              <w:t>მუხლი 1. ზოგადი დებულებები</w:t>
            </w:r>
          </w:p>
        </w:tc>
      </w:tr>
      <w:tr w:rsidR="0074322D" w:rsidRPr="005C26E6" w14:paraId="6B642E58" w14:textId="77777777" w:rsidTr="00AB016D">
        <w:tc>
          <w:tcPr>
            <w:tcW w:w="9639" w:type="dxa"/>
          </w:tcPr>
          <w:p w14:paraId="25C75713" w14:textId="2E3D04E6" w:rsidR="0074322D" w:rsidRPr="00AB016D" w:rsidRDefault="0074322D">
            <w:pPr>
              <w:jc w:val="both"/>
              <w:rPr>
                <w:sz w:val="22"/>
                <w:szCs w:val="22"/>
                <w:lang w:val="ka-GE"/>
              </w:rPr>
            </w:pPr>
            <w:r w:rsidRPr="00AB016D">
              <w:rPr>
                <w:rFonts w:cstheme="minorHAnsi"/>
                <w:sz w:val="22"/>
                <w:szCs w:val="22"/>
                <w:lang w:val="ka-GE"/>
              </w:rPr>
              <w:t xml:space="preserve">1. </w:t>
            </w:r>
            <w:r w:rsidR="00E324CA" w:rsidRPr="00042962">
              <w:rPr>
                <w:rFonts w:cstheme="minorHAnsi"/>
                <w:sz w:val="22"/>
                <w:szCs w:val="22"/>
                <w:lang w:val="ka-GE"/>
              </w:rPr>
              <w:t xml:space="preserve">იპოთეკით დაცული ობლიგაციების მარეგულირებელი წესი </w:t>
            </w:r>
            <w:r w:rsidR="00E324CA">
              <w:rPr>
                <w:rFonts w:cstheme="minorHAnsi"/>
                <w:sz w:val="22"/>
                <w:szCs w:val="22"/>
                <w:lang w:val="ka-GE"/>
              </w:rPr>
              <w:t xml:space="preserve">(შემდგომში - </w:t>
            </w:r>
            <w:r w:rsidRPr="00AB016D">
              <w:rPr>
                <w:rFonts w:cstheme="minorHAnsi"/>
                <w:sz w:val="22"/>
                <w:szCs w:val="22"/>
                <w:lang w:val="ka-GE"/>
              </w:rPr>
              <w:t>წესი</w:t>
            </w:r>
            <w:r w:rsidR="00E324CA">
              <w:rPr>
                <w:rFonts w:cstheme="minorHAnsi"/>
                <w:sz w:val="22"/>
                <w:szCs w:val="22"/>
                <w:lang w:val="ka-GE"/>
              </w:rPr>
              <w:t>)</w:t>
            </w:r>
            <w:r w:rsidRPr="00AB016D">
              <w:rPr>
                <w:rFonts w:cstheme="minorHAnsi"/>
                <w:sz w:val="22"/>
                <w:szCs w:val="22"/>
                <w:lang w:val="ka-GE"/>
              </w:rPr>
              <w:t xml:space="preserve"> განსაზღვრავს საქართველოს ეროვნული ბანკის (შემდგომში - ეროვნული ბანკი) მიერ კომერციული ბანკებისათვის იპოთეკით დაცული ობლიგაციების (შემდგომში - იპოთეკური ობლიგაციები) გამოსაშვებად ავტორიზაციის მინიჭების, იპოთეკური ობლიგაციების პროგრამის განსახორციელებლად თანხმობის გაცემისა და იპოთეკური ობლიგაციების ემიტენტის/რეფინანსირების ბანკის მოვალის რეგულირების საკითხებს, მათ შორის:</w:t>
            </w:r>
          </w:p>
        </w:tc>
      </w:tr>
      <w:tr w:rsidR="0074322D" w:rsidRPr="005C26E6" w14:paraId="6BAB7CC3" w14:textId="77777777" w:rsidTr="00AB016D">
        <w:tc>
          <w:tcPr>
            <w:tcW w:w="9639" w:type="dxa"/>
          </w:tcPr>
          <w:p w14:paraId="2AE9F011" w14:textId="694AA72E" w:rsidR="0074322D" w:rsidRPr="00AB016D" w:rsidRDefault="0074322D" w:rsidP="00AB016D">
            <w:pPr>
              <w:jc w:val="both"/>
              <w:rPr>
                <w:rFonts w:cstheme="minorHAnsi"/>
                <w:sz w:val="22"/>
                <w:szCs w:val="22"/>
                <w:lang w:val="ka-GE"/>
              </w:rPr>
            </w:pPr>
            <w:r w:rsidRPr="00AB016D">
              <w:rPr>
                <w:rFonts w:cstheme="minorHAnsi"/>
                <w:sz w:val="22"/>
                <w:szCs w:val="22"/>
                <w:lang w:val="ka-GE"/>
              </w:rPr>
              <w:t>ა) მოთხოვნებს, რომლებსაც უნდა აკმაყოფილებდეს კომერციული ბანკი იპოთეკური ობლიგაციების გამოსაშვებად ავტორიზაციის მოპოვებისა და იპოთეკური ობლიგაციების პროგრამის განსახორციელებლად თანხმობის მიღების მიზნით;</w:t>
            </w:r>
          </w:p>
        </w:tc>
      </w:tr>
      <w:tr w:rsidR="0074322D" w:rsidRPr="005C26E6" w14:paraId="05469A2A" w14:textId="77777777" w:rsidTr="00AB016D">
        <w:tc>
          <w:tcPr>
            <w:tcW w:w="9639" w:type="dxa"/>
          </w:tcPr>
          <w:p w14:paraId="38F760BA" w14:textId="064E9A84" w:rsidR="0074322D" w:rsidRPr="00AB016D" w:rsidRDefault="0074322D" w:rsidP="00AB016D">
            <w:pPr>
              <w:jc w:val="both"/>
              <w:rPr>
                <w:sz w:val="22"/>
                <w:szCs w:val="22"/>
                <w:lang w:val="ka-GE"/>
              </w:rPr>
            </w:pPr>
            <w:r w:rsidRPr="00AB016D">
              <w:rPr>
                <w:rFonts w:cstheme="minorHAnsi"/>
                <w:sz w:val="22"/>
                <w:szCs w:val="22"/>
                <w:lang w:val="ka-GE"/>
              </w:rPr>
              <w:t>ბ) ემიტენტი</w:t>
            </w:r>
            <w:r w:rsidR="00AB016D">
              <w:rPr>
                <w:rFonts w:cstheme="minorHAnsi"/>
                <w:sz w:val="22"/>
                <w:szCs w:val="22"/>
                <w:lang w:val="ka-GE"/>
              </w:rPr>
              <w:t xml:space="preserve"> კომერციული ბანკის</w:t>
            </w:r>
            <w:r w:rsidRPr="00AB016D">
              <w:rPr>
                <w:rFonts w:cstheme="minorHAnsi"/>
                <w:sz w:val="22"/>
                <w:szCs w:val="22"/>
                <w:lang w:val="ka-GE"/>
              </w:rPr>
              <w:t xml:space="preserve"> მიერ </w:t>
            </w:r>
            <w:r w:rsidRPr="00AB016D">
              <w:rPr>
                <w:sz w:val="22"/>
                <w:szCs w:val="22"/>
              </w:rPr>
              <w:t xml:space="preserve">ანგარიშგების წარმოების წესსა </w:t>
            </w:r>
            <w:r w:rsidRPr="00AB016D">
              <w:rPr>
                <w:sz w:val="22"/>
                <w:szCs w:val="22"/>
                <w:lang w:val="ka-GE"/>
              </w:rPr>
              <w:t xml:space="preserve">და </w:t>
            </w:r>
            <w:r w:rsidRPr="00AB016D">
              <w:rPr>
                <w:sz w:val="22"/>
                <w:szCs w:val="22"/>
              </w:rPr>
              <w:t>პერიოდულობას</w:t>
            </w:r>
            <w:r w:rsidRPr="00AB016D">
              <w:rPr>
                <w:sz w:val="22"/>
                <w:szCs w:val="22"/>
                <w:lang w:val="ka-GE"/>
              </w:rPr>
              <w:t>;</w:t>
            </w:r>
          </w:p>
        </w:tc>
      </w:tr>
      <w:tr w:rsidR="0074322D" w:rsidRPr="005C26E6" w14:paraId="73346644" w14:textId="77777777" w:rsidTr="00AB016D">
        <w:tc>
          <w:tcPr>
            <w:tcW w:w="9639" w:type="dxa"/>
          </w:tcPr>
          <w:p w14:paraId="3BBD961B" w14:textId="108A62B8" w:rsidR="0074322D" w:rsidRPr="00AB016D" w:rsidRDefault="0074322D" w:rsidP="00AB016D">
            <w:pPr>
              <w:jc w:val="both"/>
              <w:rPr>
                <w:rFonts w:cstheme="minorHAnsi"/>
                <w:sz w:val="22"/>
                <w:szCs w:val="22"/>
                <w:lang w:val="ka-GE"/>
              </w:rPr>
            </w:pPr>
            <w:r w:rsidRPr="00AB016D">
              <w:rPr>
                <w:rFonts w:cstheme="minorHAnsi"/>
                <w:sz w:val="22"/>
                <w:szCs w:val="22"/>
                <w:lang w:val="ka-GE"/>
              </w:rPr>
              <w:t>გ) ემიტენტი</w:t>
            </w:r>
            <w:r w:rsidR="00AB016D">
              <w:rPr>
                <w:rFonts w:cstheme="minorHAnsi"/>
                <w:sz w:val="22"/>
                <w:szCs w:val="22"/>
                <w:lang w:val="ka-GE"/>
              </w:rPr>
              <w:t xml:space="preserve"> კომერციული ბანკის</w:t>
            </w:r>
            <w:r w:rsidRPr="00AB016D">
              <w:rPr>
                <w:rFonts w:cstheme="minorHAnsi"/>
                <w:sz w:val="22"/>
                <w:szCs w:val="22"/>
                <w:lang w:val="ka-GE"/>
              </w:rPr>
              <w:t xml:space="preserve"> მიერ შესაბამისი აქტივებით იპოთეკური ობლიგაციების პროგრამის ვალდებულებათა უზრუნველყოფისა და ლიკვიდურობის მოთხოვნების (ლიკვიდურობის ბუფერის) დაცვის საკითხებს.</w:t>
            </w:r>
          </w:p>
        </w:tc>
      </w:tr>
      <w:tr w:rsidR="0074322D" w:rsidRPr="005C26E6" w14:paraId="2F781DBD" w14:textId="77777777" w:rsidTr="00AB016D">
        <w:tc>
          <w:tcPr>
            <w:tcW w:w="9639" w:type="dxa"/>
          </w:tcPr>
          <w:p w14:paraId="6B61081C" w14:textId="75F1C8FD" w:rsidR="0074322D" w:rsidRPr="00AB016D" w:rsidRDefault="0074322D" w:rsidP="00AB016D">
            <w:pPr>
              <w:jc w:val="both"/>
              <w:rPr>
                <w:rFonts w:cstheme="minorHAnsi"/>
                <w:sz w:val="22"/>
                <w:szCs w:val="22"/>
                <w:lang w:val="ka-GE"/>
              </w:rPr>
            </w:pPr>
            <w:r w:rsidRPr="00AB016D">
              <w:rPr>
                <w:rFonts w:cstheme="minorHAnsi"/>
                <w:sz w:val="22"/>
                <w:szCs w:val="22"/>
                <w:lang w:val="ka-GE"/>
              </w:rPr>
              <w:t xml:space="preserve">2. ამ წესში გამოყენებულ ტერმინებს </w:t>
            </w:r>
            <w:r w:rsidR="00E324CA">
              <w:rPr>
                <w:rFonts w:cstheme="minorHAnsi"/>
                <w:sz w:val="22"/>
                <w:szCs w:val="22"/>
                <w:lang w:val="ka-GE"/>
              </w:rPr>
              <w:t>აქვს</w:t>
            </w:r>
            <w:r w:rsidRPr="00AB016D">
              <w:rPr>
                <w:rFonts w:cstheme="minorHAnsi"/>
                <w:sz w:val="22"/>
                <w:szCs w:val="22"/>
                <w:lang w:val="ka-GE"/>
              </w:rPr>
              <w:t xml:space="preserve"> „იპოთეკით დაცული ობლიგაციების შესახებ“ საქართველოს კანონით (შემდგომში - კანონი) განსაზღვრული მნიშვნელობა.</w:t>
            </w:r>
          </w:p>
          <w:p w14:paraId="13834EF1" w14:textId="6045A893" w:rsidR="00AB016D" w:rsidRPr="00AB016D" w:rsidRDefault="00AB016D" w:rsidP="00AB016D">
            <w:pPr>
              <w:jc w:val="both"/>
              <w:rPr>
                <w:rFonts w:cstheme="minorHAnsi"/>
                <w:sz w:val="22"/>
                <w:szCs w:val="22"/>
                <w:lang w:val="ka-GE"/>
              </w:rPr>
            </w:pPr>
          </w:p>
        </w:tc>
      </w:tr>
      <w:tr w:rsidR="0074322D" w:rsidRPr="005C26E6" w14:paraId="49442697" w14:textId="519D4E28" w:rsidTr="00AB016D">
        <w:tc>
          <w:tcPr>
            <w:tcW w:w="9639" w:type="dxa"/>
          </w:tcPr>
          <w:p w14:paraId="1ACC2CB9" w14:textId="12B0C80D" w:rsidR="0074322D" w:rsidRPr="007D758F" w:rsidRDefault="0074322D" w:rsidP="00AB016D">
            <w:pPr>
              <w:pStyle w:val="Heading3"/>
              <w:spacing w:after="160"/>
              <w:jc w:val="both"/>
              <w:outlineLvl w:val="2"/>
              <w:rPr>
                <w:rFonts w:ascii="Sylfaen" w:hAnsi="Sylfaen"/>
                <w:b/>
                <w:color w:val="000000" w:themeColor="text1"/>
                <w:sz w:val="22"/>
                <w:szCs w:val="22"/>
                <w:lang w:val="ka-GE"/>
              </w:rPr>
            </w:pPr>
            <w:r w:rsidRPr="007D758F">
              <w:rPr>
                <w:rFonts w:ascii="Sylfaen" w:hAnsi="Sylfaen"/>
                <w:b/>
                <w:color w:val="000000" w:themeColor="text1"/>
                <w:sz w:val="22"/>
                <w:szCs w:val="22"/>
                <w:lang w:val="ka-GE"/>
              </w:rPr>
              <w:t xml:space="preserve">მუხლი </w:t>
            </w:r>
            <w:r w:rsidR="00AB016D">
              <w:rPr>
                <w:rFonts w:ascii="Sylfaen" w:hAnsi="Sylfaen"/>
                <w:b/>
                <w:color w:val="000000" w:themeColor="text1"/>
                <w:sz w:val="22"/>
                <w:szCs w:val="22"/>
              </w:rPr>
              <w:t>2</w:t>
            </w:r>
            <w:r w:rsidRPr="007D758F">
              <w:rPr>
                <w:rFonts w:ascii="Sylfaen" w:hAnsi="Sylfaen"/>
                <w:b/>
                <w:color w:val="000000" w:themeColor="text1"/>
                <w:sz w:val="22"/>
                <w:szCs w:val="22"/>
                <w:lang w:val="ka-GE"/>
              </w:rPr>
              <w:t>. იპოთეკ</w:t>
            </w:r>
            <w:r w:rsidR="00E324CA">
              <w:rPr>
                <w:rFonts w:ascii="Sylfaen" w:hAnsi="Sylfaen"/>
                <w:b/>
                <w:color w:val="000000" w:themeColor="text1"/>
                <w:sz w:val="22"/>
                <w:szCs w:val="22"/>
                <w:lang w:val="ka-GE"/>
              </w:rPr>
              <w:t>ური</w:t>
            </w:r>
            <w:r w:rsidRPr="007D758F">
              <w:rPr>
                <w:rFonts w:ascii="Sylfaen" w:hAnsi="Sylfaen"/>
                <w:b/>
                <w:color w:val="000000" w:themeColor="text1"/>
                <w:sz w:val="22"/>
                <w:szCs w:val="22"/>
                <w:lang w:val="ka-GE"/>
              </w:rPr>
              <w:t xml:space="preserve"> ობლიგაციების გამოსაშვებად ავტორიზაციის მიღება</w:t>
            </w:r>
            <w:r w:rsidRPr="007D758F">
              <w:rPr>
                <w:rFonts w:ascii="Sylfaen" w:hAnsi="Sylfaen"/>
                <w:b/>
                <w:color w:val="000000" w:themeColor="text1"/>
                <w:sz w:val="22"/>
                <w:szCs w:val="22"/>
              </w:rPr>
              <w:t>.</w:t>
            </w:r>
            <w:r w:rsidRPr="007D758F">
              <w:rPr>
                <w:rFonts w:ascii="Sylfaen" w:hAnsi="Sylfaen"/>
                <w:b/>
                <w:color w:val="000000" w:themeColor="text1"/>
                <w:sz w:val="22"/>
                <w:szCs w:val="22"/>
                <w:lang w:val="ka-GE"/>
              </w:rPr>
              <w:t xml:space="preserve"> იპოთეკური ობლიგაციების პროგრამის განსახორციელებლად თანხმობის მოპოვება</w:t>
            </w:r>
          </w:p>
        </w:tc>
      </w:tr>
      <w:tr w:rsidR="0074322D" w:rsidRPr="005C26E6" w14:paraId="69B6FD5B" w14:textId="25DC8708" w:rsidTr="00AB016D">
        <w:tc>
          <w:tcPr>
            <w:tcW w:w="9639" w:type="dxa"/>
          </w:tcPr>
          <w:p w14:paraId="1834FEDF" w14:textId="0782C0D3" w:rsidR="0074322D" w:rsidRPr="00AB016D" w:rsidRDefault="0074322D">
            <w:pPr>
              <w:jc w:val="both"/>
              <w:rPr>
                <w:rFonts w:cstheme="minorHAnsi"/>
                <w:sz w:val="22"/>
                <w:szCs w:val="22"/>
                <w:lang w:val="ka-GE"/>
              </w:rPr>
            </w:pPr>
            <w:r w:rsidRPr="00AB016D">
              <w:rPr>
                <w:rFonts w:cstheme="minorHAnsi"/>
                <w:sz w:val="22"/>
                <w:szCs w:val="22"/>
                <w:lang w:val="ka-GE"/>
              </w:rPr>
              <w:t>1. იპოთეკური ობლიგაციების გამო</w:t>
            </w:r>
            <w:r w:rsidR="00AB016D">
              <w:rPr>
                <w:rFonts w:cstheme="minorHAnsi"/>
                <w:sz w:val="22"/>
                <w:szCs w:val="22"/>
                <w:lang w:val="ka-GE"/>
              </w:rPr>
              <w:t xml:space="preserve">საშვებად </w:t>
            </w:r>
            <w:r w:rsidRPr="00AB016D">
              <w:rPr>
                <w:rFonts w:cstheme="minorHAnsi"/>
                <w:sz w:val="22"/>
                <w:szCs w:val="22"/>
                <w:lang w:val="ka-GE"/>
              </w:rPr>
              <w:t>ავტორიზაციის მი</w:t>
            </w:r>
            <w:r w:rsidR="00AB016D">
              <w:rPr>
                <w:rFonts w:cstheme="minorHAnsi"/>
                <w:sz w:val="22"/>
                <w:szCs w:val="22"/>
              </w:rPr>
              <w:t xml:space="preserve">ღების მიზნით </w:t>
            </w:r>
            <w:r w:rsidR="00AB016D">
              <w:rPr>
                <w:rFonts w:cstheme="minorHAnsi"/>
                <w:sz w:val="22"/>
                <w:szCs w:val="22"/>
                <w:lang w:val="ka-GE"/>
              </w:rPr>
              <w:t xml:space="preserve">კომერციული </w:t>
            </w:r>
            <w:r w:rsidR="00AB016D" w:rsidRPr="00AB016D">
              <w:rPr>
                <w:rFonts w:cstheme="minorHAnsi"/>
                <w:sz w:val="22"/>
                <w:szCs w:val="22"/>
                <w:lang w:val="ka-GE"/>
              </w:rPr>
              <w:t>ბანკი</w:t>
            </w:r>
            <w:r w:rsidRPr="00AB016D">
              <w:rPr>
                <w:rFonts w:cstheme="minorHAnsi"/>
                <w:sz w:val="22"/>
                <w:szCs w:val="22"/>
                <w:lang w:val="ka-GE"/>
              </w:rPr>
              <w:t xml:space="preserve"> ეროვნულ ბანკს წარუდგენს განცხადებას და ინფორმაციას/დოკუმენტებს ამ წესის დანართი N1-ით განსაზღვრული მოთხოვნების შესაბამისად</w:t>
            </w:r>
            <w:r w:rsidR="00AB016D">
              <w:rPr>
                <w:rFonts w:cstheme="minorHAnsi"/>
                <w:sz w:val="22"/>
                <w:szCs w:val="22"/>
                <w:lang w:val="ka-GE"/>
              </w:rPr>
              <w:t>. ავტორიზაციის თაობაზე განცხადებასთან ერთად ეროვნულ ბანკს აგრეთვე წარედგინება</w:t>
            </w:r>
            <w:r w:rsidR="00AB016D">
              <w:rPr>
                <w:rFonts w:cstheme="minorHAnsi"/>
                <w:sz w:val="22"/>
                <w:szCs w:val="22"/>
              </w:rPr>
              <w:t xml:space="preserve"> </w:t>
            </w:r>
            <w:r w:rsidRPr="00AB016D">
              <w:rPr>
                <w:rFonts w:cstheme="minorHAnsi"/>
                <w:sz w:val="22"/>
                <w:szCs w:val="22"/>
                <w:lang w:val="ka-GE"/>
              </w:rPr>
              <w:t>ამ მუხლის მე-2 პუნქტით გათვალისწინებულ</w:t>
            </w:r>
            <w:r w:rsidR="00AB016D">
              <w:rPr>
                <w:rFonts w:cstheme="minorHAnsi"/>
                <w:sz w:val="22"/>
                <w:szCs w:val="22"/>
                <w:lang w:val="ka-GE"/>
              </w:rPr>
              <w:t>ი</w:t>
            </w:r>
            <w:r w:rsidRPr="00AB016D">
              <w:rPr>
                <w:rFonts w:cstheme="minorHAnsi"/>
                <w:sz w:val="22"/>
                <w:szCs w:val="22"/>
                <w:lang w:val="ka-GE"/>
              </w:rPr>
              <w:t xml:space="preserve"> განცხადება და ინფორმაცია/დოკუმენტებ</w:t>
            </w:r>
            <w:r w:rsidR="00AB016D">
              <w:rPr>
                <w:rFonts w:cstheme="minorHAnsi"/>
                <w:sz w:val="22"/>
                <w:szCs w:val="22"/>
                <w:lang w:val="ka-GE"/>
              </w:rPr>
              <w:t>ი</w:t>
            </w:r>
            <w:r w:rsidRPr="00AB016D">
              <w:rPr>
                <w:rFonts w:cstheme="minorHAnsi"/>
                <w:sz w:val="22"/>
                <w:szCs w:val="22"/>
                <w:lang w:val="ka-GE"/>
              </w:rPr>
              <w:t xml:space="preserve"> იპოთეკური ობლიგაციების პროგრამის განსახორციელებლად თანხმობის მოსაპოვებლად.</w:t>
            </w:r>
          </w:p>
        </w:tc>
      </w:tr>
      <w:tr w:rsidR="0074322D" w:rsidRPr="005C26E6" w14:paraId="3F4CF2FC" w14:textId="442276FF" w:rsidTr="00AB016D">
        <w:tc>
          <w:tcPr>
            <w:tcW w:w="9639" w:type="dxa"/>
          </w:tcPr>
          <w:p w14:paraId="793BE123" w14:textId="7188FF7D" w:rsidR="0074322D" w:rsidRPr="00AB016D" w:rsidRDefault="0074322D" w:rsidP="00AB016D">
            <w:pPr>
              <w:jc w:val="both"/>
              <w:rPr>
                <w:sz w:val="22"/>
                <w:szCs w:val="22"/>
                <w:lang w:val="ka-GE"/>
              </w:rPr>
            </w:pPr>
            <w:r w:rsidRPr="00AB016D">
              <w:rPr>
                <w:sz w:val="22"/>
                <w:szCs w:val="22"/>
              </w:rPr>
              <w:t>2.</w:t>
            </w:r>
            <w:r w:rsidRPr="00AB016D">
              <w:rPr>
                <w:sz w:val="22"/>
                <w:szCs w:val="22"/>
                <w:lang w:val="ka-GE"/>
              </w:rPr>
              <w:t xml:space="preserve"> იპოთეკური ობლიგაციების პროგრამის განსახორციელებლად თანხმობის მოპოვების მიზნით</w:t>
            </w:r>
            <w:r w:rsidRPr="00AB016D">
              <w:rPr>
                <w:rFonts w:cstheme="minorHAnsi"/>
                <w:sz w:val="22"/>
                <w:szCs w:val="22"/>
                <w:lang w:val="ka-GE"/>
              </w:rPr>
              <w:t xml:space="preserve"> კომერციული ბანკი ეროვნულ ბანკს წარუდგენს განცხადებას და ინფორმაციას/დოკუმენტებს ამ წესის დანართი N2-ით განსაზღვრული მოთხოვნების შესაბამისად.</w:t>
            </w:r>
          </w:p>
        </w:tc>
      </w:tr>
      <w:tr w:rsidR="0074322D" w:rsidRPr="005C26E6" w14:paraId="0FB87473" w14:textId="0938E704" w:rsidTr="00AB016D">
        <w:tc>
          <w:tcPr>
            <w:tcW w:w="9639" w:type="dxa"/>
          </w:tcPr>
          <w:p w14:paraId="67033C1F" w14:textId="22F74EA6" w:rsidR="0074322D" w:rsidRPr="00AB016D" w:rsidRDefault="0074322D" w:rsidP="00AB016D">
            <w:pPr>
              <w:jc w:val="both"/>
              <w:rPr>
                <w:rFonts w:cstheme="minorHAnsi"/>
                <w:sz w:val="22"/>
                <w:szCs w:val="22"/>
                <w:lang w:val="ka-GE"/>
              </w:rPr>
            </w:pPr>
            <w:r w:rsidRPr="00AB016D">
              <w:rPr>
                <w:rFonts w:cstheme="minorHAnsi"/>
                <w:sz w:val="22"/>
                <w:szCs w:val="22"/>
                <w:lang w:val="ka-GE"/>
              </w:rPr>
              <w:t xml:space="preserve">3. ავტორიზებულ კომერციულ ბანკს, რომელმაც მოიპოვა თანხმობა იპოთეკური ობლიგაციების პროგრამის განსახორციელებლად, უფლება აქვს წარუდგინოს ეროვნულ ბანკს განცხადება ახალი იპოთეკური ობლიგაციების პროგრამის განსახორციელებლად თანხმობის </w:t>
            </w:r>
            <w:r w:rsidR="00297CCF">
              <w:rPr>
                <w:rFonts w:cstheme="minorHAnsi"/>
                <w:sz w:val="22"/>
                <w:szCs w:val="22"/>
                <w:lang w:val="ka-GE"/>
              </w:rPr>
              <w:t>მიღების</w:t>
            </w:r>
            <w:r w:rsidRPr="00AB016D">
              <w:rPr>
                <w:rFonts w:cstheme="minorHAnsi"/>
                <w:sz w:val="22"/>
                <w:szCs w:val="22"/>
                <w:lang w:val="ka-GE"/>
              </w:rPr>
              <w:t xml:space="preserve"> მიზნით ამ მუხლის მე-2 პუნქტის  შესაბამისად.</w:t>
            </w:r>
          </w:p>
        </w:tc>
      </w:tr>
      <w:tr w:rsidR="0074322D" w:rsidRPr="005C26E6" w14:paraId="7ABBD5B1" w14:textId="02266FE5" w:rsidTr="00AB016D">
        <w:tc>
          <w:tcPr>
            <w:tcW w:w="9639" w:type="dxa"/>
          </w:tcPr>
          <w:p w14:paraId="179F569F" w14:textId="445BF9DC" w:rsidR="0074322D" w:rsidRPr="00AB016D" w:rsidRDefault="0074322D" w:rsidP="00AB016D">
            <w:pPr>
              <w:jc w:val="both"/>
              <w:rPr>
                <w:rFonts w:cstheme="minorHAnsi"/>
                <w:sz w:val="22"/>
                <w:szCs w:val="22"/>
                <w:lang w:val="ka-GE"/>
              </w:rPr>
            </w:pPr>
            <w:r w:rsidRPr="00AB016D">
              <w:rPr>
                <w:rFonts w:cstheme="minorHAnsi"/>
                <w:sz w:val="22"/>
                <w:szCs w:val="22"/>
                <w:lang w:val="ka-GE"/>
              </w:rPr>
              <w:t xml:space="preserve">4. განცხადების თაობაზე ეროვნული ბანკის მიერ გადაწყვეტილების მიღებამდე, კომერციული ბანკი ვალდებულია დაუყოვნებლივ წერილობით შეატყობინოს ეროვნულ ბანკს </w:t>
            </w:r>
            <w:r w:rsidR="00297CCF">
              <w:rPr>
                <w:rFonts w:cstheme="minorHAnsi"/>
                <w:sz w:val="22"/>
                <w:szCs w:val="22"/>
                <w:lang w:val="ka-GE"/>
              </w:rPr>
              <w:t xml:space="preserve">ამ წესის </w:t>
            </w:r>
            <w:r w:rsidRPr="00AB016D">
              <w:rPr>
                <w:rFonts w:cstheme="minorHAnsi"/>
                <w:sz w:val="22"/>
                <w:szCs w:val="22"/>
                <w:lang w:val="ka-GE"/>
              </w:rPr>
              <w:t>დანართი N1-ით ან/და დანართი N2-ით გათვალისწინებული მონაცემების ცვლილების შესახებ.</w:t>
            </w:r>
          </w:p>
        </w:tc>
      </w:tr>
      <w:tr w:rsidR="0074322D" w:rsidRPr="005C26E6" w14:paraId="4AA2570B" w14:textId="56CACE9B" w:rsidTr="00AB016D">
        <w:tc>
          <w:tcPr>
            <w:tcW w:w="9639" w:type="dxa"/>
          </w:tcPr>
          <w:p w14:paraId="3D64EDAB" w14:textId="3EA8CC2A" w:rsidR="0074322D" w:rsidRPr="00AB016D" w:rsidRDefault="0074322D" w:rsidP="00AB016D">
            <w:pPr>
              <w:jc w:val="both"/>
              <w:rPr>
                <w:sz w:val="22"/>
                <w:szCs w:val="22"/>
                <w:lang w:val="ka-GE"/>
              </w:rPr>
            </w:pPr>
            <w:r w:rsidRPr="00AB016D">
              <w:rPr>
                <w:sz w:val="22"/>
                <w:szCs w:val="22"/>
                <w:lang w:val="ka-GE"/>
              </w:rPr>
              <w:t xml:space="preserve">5. </w:t>
            </w:r>
            <w:r w:rsidRPr="00882170">
              <w:rPr>
                <w:rFonts w:cstheme="minorHAnsi"/>
                <w:sz w:val="22"/>
                <w:szCs w:val="22"/>
                <w:lang w:val="ka-GE"/>
              </w:rPr>
              <w:t xml:space="preserve">ეროვნული </w:t>
            </w:r>
            <w:r w:rsidRPr="007D758F">
              <w:rPr>
                <w:rFonts w:cstheme="minorHAnsi"/>
                <w:sz w:val="22"/>
                <w:szCs w:val="22"/>
                <w:lang w:val="ka-GE"/>
              </w:rPr>
              <w:t>ბანკი უფლებამოსილია დოკუმენტაციაში წარმოდგენილი ინფორმაციის გარდა განმცხადებელს დამატებით მოსთხოვოს ინფორმაცია ან/და</w:t>
            </w:r>
            <w:r w:rsidR="00AB016D">
              <w:rPr>
                <w:rFonts w:cstheme="minorHAnsi"/>
                <w:sz w:val="22"/>
                <w:szCs w:val="22"/>
              </w:rPr>
              <w:t xml:space="preserve"> </w:t>
            </w:r>
            <w:r w:rsidRPr="00882170">
              <w:rPr>
                <w:rFonts w:cstheme="minorHAnsi"/>
                <w:sz w:val="22"/>
                <w:szCs w:val="22"/>
                <w:lang w:val="ka-GE"/>
              </w:rPr>
              <w:t xml:space="preserve">დოკუმენტაცია </w:t>
            </w:r>
            <w:r w:rsidRPr="007D758F">
              <w:rPr>
                <w:rFonts w:cstheme="minorHAnsi"/>
                <w:sz w:val="22"/>
                <w:szCs w:val="22"/>
                <w:lang w:val="ka-GE"/>
              </w:rPr>
              <w:t>და განუსაზღვროს მას აღნიშნული ინფორმაციის ან/და დოკუმენტაციის წარდგენის</w:t>
            </w:r>
            <w:r w:rsidR="00AB016D">
              <w:rPr>
                <w:rFonts w:cstheme="minorHAnsi"/>
                <w:sz w:val="22"/>
                <w:szCs w:val="22"/>
              </w:rPr>
              <w:t xml:space="preserve"> </w:t>
            </w:r>
            <w:r w:rsidRPr="00882170">
              <w:rPr>
                <w:rFonts w:cstheme="minorHAnsi"/>
                <w:sz w:val="22"/>
                <w:szCs w:val="22"/>
                <w:lang w:val="ka-GE"/>
              </w:rPr>
              <w:t xml:space="preserve">ფორმა </w:t>
            </w:r>
            <w:r w:rsidRPr="007D758F">
              <w:rPr>
                <w:rFonts w:cstheme="minorHAnsi"/>
                <w:sz w:val="22"/>
                <w:szCs w:val="22"/>
                <w:lang w:val="ka-GE"/>
              </w:rPr>
              <w:t>და ვადა.</w:t>
            </w:r>
          </w:p>
        </w:tc>
      </w:tr>
      <w:tr w:rsidR="0074322D" w:rsidRPr="005C26E6" w14:paraId="667E723E" w14:textId="77777777" w:rsidTr="00AB016D">
        <w:tc>
          <w:tcPr>
            <w:tcW w:w="9639" w:type="dxa"/>
          </w:tcPr>
          <w:p w14:paraId="5C9F563B" w14:textId="77777777" w:rsidR="002E1FA6" w:rsidRDefault="0074322D" w:rsidP="00C846B8">
            <w:pPr>
              <w:jc w:val="both"/>
              <w:rPr>
                <w:sz w:val="22"/>
                <w:szCs w:val="22"/>
                <w:lang w:val="ka-GE"/>
              </w:rPr>
            </w:pPr>
            <w:r w:rsidRPr="00AB016D">
              <w:rPr>
                <w:sz w:val="22"/>
                <w:szCs w:val="22"/>
                <w:lang w:val="ka-GE"/>
              </w:rPr>
              <w:lastRenderedPageBreak/>
              <w:t xml:space="preserve">6. </w:t>
            </w:r>
            <w:r w:rsidR="0020749B" w:rsidRPr="0020749B">
              <w:rPr>
                <w:sz w:val="22"/>
                <w:szCs w:val="22"/>
                <w:lang w:val="ka-GE"/>
              </w:rPr>
              <w:t xml:space="preserve">ეროვნული ბანკი უფლებამოსილია </w:t>
            </w:r>
            <w:r w:rsidR="0020749B">
              <w:rPr>
                <w:sz w:val="22"/>
                <w:szCs w:val="22"/>
                <w:lang w:val="ka-GE"/>
              </w:rPr>
              <w:t xml:space="preserve">განმცხადებლის </w:t>
            </w:r>
            <w:r w:rsidR="0020749B" w:rsidRPr="0020749B">
              <w:rPr>
                <w:sz w:val="22"/>
                <w:szCs w:val="22"/>
                <w:lang w:val="ka-GE"/>
              </w:rPr>
              <w:t>მიერ წარმოდგენილ</w:t>
            </w:r>
            <w:r w:rsidR="0020749B">
              <w:rPr>
                <w:sz w:val="22"/>
                <w:szCs w:val="22"/>
                <w:lang w:val="ka-GE"/>
              </w:rPr>
              <w:t xml:space="preserve"> </w:t>
            </w:r>
            <w:r w:rsidR="0020749B" w:rsidRPr="0020749B">
              <w:rPr>
                <w:sz w:val="22"/>
                <w:szCs w:val="22"/>
                <w:lang w:val="ka-GE"/>
              </w:rPr>
              <w:t>დოკუმენტაციაზე დაადგინოს ხარვეზი და განსაზღვროს აღნიშნულის გამოსასწორებელი ვადა, ფორმა</w:t>
            </w:r>
            <w:r w:rsidR="0020749B">
              <w:rPr>
                <w:sz w:val="22"/>
                <w:szCs w:val="22"/>
                <w:lang w:val="ka-GE"/>
              </w:rPr>
              <w:t xml:space="preserve"> </w:t>
            </w:r>
            <w:r w:rsidR="0020749B" w:rsidRPr="0020749B">
              <w:rPr>
                <w:sz w:val="22"/>
                <w:szCs w:val="22"/>
                <w:lang w:val="ka-GE"/>
              </w:rPr>
              <w:t>და პროცედურა.</w:t>
            </w:r>
          </w:p>
          <w:p w14:paraId="67BC005B" w14:textId="338702FC" w:rsidR="00EC1596" w:rsidRDefault="00EC1596" w:rsidP="00EC1596">
            <w:pPr>
              <w:jc w:val="both"/>
              <w:rPr>
                <w:sz w:val="22"/>
                <w:szCs w:val="22"/>
                <w:lang w:val="ka-GE"/>
              </w:rPr>
            </w:pPr>
            <w:r>
              <w:rPr>
                <w:sz w:val="22"/>
                <w:szCs w:val="22"/>
                <w:lang w:val="ka-GE"/>
              </w:rPr>
              <w:t xml:space="preserve">7. </w:t>
            </w:r>
            <w:r>
              <w:rPr>
                <w:sz w:val="22"/>
                <w:szCs w:val="22"/>
              </w:rPr>
              <w:t>ეროვნული ბანკი არ</w:t>
            </w:r>
            <w:r>
              <w:rPr>
                <w:sz w:val="22"/>
                <w:szCs w:val="22"/>
                <w:lang w:val="ka-GE"/>
              </w:rPr>
              <w:t xml:space="preserve"> დააკმაყოფილებს განცხადებას ერთ-ერთი შემდეგი საფუძვლის არსებობისას</w:t>
            </w:r>
            <w:r w:rsidRPr="00C846B8">
              <w:rPr>
                <w:sz w:val="22"/>
                <w:szCs w:val="22"/>
                <w:lang w:val="ka-GE"/>
              </w:rPr>
              <w:t>:</w:t>
            </w:r>
          </w:p>
          <w:p w14:paraId="3266849E" w14:textId="4B25B5BB" w:rsidR="00EC1596" w:rsidRDefault="00EC1596" w:rsidP="00EC1596">
            <w:pPr>
              <w:jc w:val="both"/>
              <w:rPr>
                <w:sz w:val="22"/>
                <w:szCs w:val="22"/>
                <w:lang w:val="ka-GE"/>
              </w:rPr>
            </w:pPr>
            <w:r>
              <w:rPr>
                <w:sz w:val="22"/>
                <w:szCs w:val="22"/>
                <w:lang w:val="ka-GE"/>
              </w:rPr>
              <w:t xml:space="preserve">ა) </w:t>
            </w:r>
            <w:r>
              <w:rPr>
                <w:sz w:val="22"/>
                <w:szCs w:val="22"/>
              </w:rPr>
              <w:t>განცხად</w:t>
            </w:r>
            <w:r>
              <w:rPr>
                <w:sz w:val="22"/>
                <w:szCs w:val="22"/>
                <w:lang w:val="ka-GE"/>
              </w:rPr>
              <w:t>ება</w:t>
            </w:r>
            <w:r w:rsidRPr="00C846B8">
              <w:rPr>
                <w:sz w:val="22"/>
                <w:szCs w:val="22"/>
              </w:rPr>
              <w:t xml:space="preserve"> ან/და წარმოდგენილი დოკუმენტები არ შეესაბამება კანონით ან ამ წესით დადგენილ მოთხოვნებს</w:t>
            </w:r>
            <w:r>
              <w:rPr>
                <w:sz w:val="22"/>
                <w:szCs w:val="22"/>
              </w:rPr>
              <w:t xml:space="preserve">, </w:t>
            </w:r>
            <w:r w:rsidRPr="00EC1596">
              <w:rPr>
                <w:sz w:val="22"/>
                <w:szCs w:val="22"/>
              </w:rPr>
              <w:t xml:space="preserve">არის არასრული, შეცდომაში შემყვანი ან </w:t>
            </w:r>
            <w:r>
              <w:rPr>
                <w:sz w:val="22"/>
                <w:szCs w:val="22"/>
              </w:rPr>
              <w:t>არასწორი, რ</w:t>
            </w:r>
            <w:r>
              <w:rPr>
                <w:sz w:val="22"/>
                <w:szCs w:val="22"/>
                <w:lang w:val="ka-GE"/>
              </w:rPr>
              <w:t>აც</w:t>
            </w:r>
            <w:r w:rsidRPr="00EC1596">
              <w:rPr>
                <w:sz w:val="22"/>
                <w:szCs w:val="22"/>
              </w:rPr>
              <w:t xml:space="preserve"> </w:t>
            </w:r>
            <w:r>
              <w:rPr>
                <w:sz w:val="22"/>
                <w:szCs w:val="22"/>
                <w:lang w:val="ka-GE"/>
              </w:rPr>
              <w:t xml:space="preserve">განმცხადებელმა </w:t>
            </w:r>
            <w:r w:rsidRPr="00EC1596">
              <w:rPr>
                <w:sz w:val="22"/>
                <w:szCs w:val="22"/>
              </w:rPr>
              <w:t xml:space="preserve">არ </w:t>
            </w:r>
            <w:r>
              <w:rPr>
                <w:sz w:val="22"/>
                <w:szCs w:val="22"/>
                <w:lang w:val="ka-GE"/>
              </w:rPr>
              <w:t xml:space="preserve">გამოასწორა </w:t>
            </w:r>
            <w:r w:rsidRPr="00EC1596">
              <w:rPr>
                <w:sz w:val="22"/>
                <w:szCs w:val="22"/>
              </w:rPr>
              <w:t>ეროვნული ბანკის მიერ დადგენილ ვადაში</w:t>
            </w:r>
            <w:r>
              <w:rPr>
                <w:sz w:val="22"/>
                <w:szCs w:val="22"/>
                <w:lang w:val="ka-GE"/>
              </w:rPr>
              <w:t>;</w:t>
            </w:r>
          </w:p>
          <w:p w14:paraId="3D6F00CC" w14:textId="00B44A1C" w:rsidR="00F76A3A" w:rsidRPr="00C846B8" w:rsidRDefault="00EC1596" w:rsidP="00F76A3A">
            <w:pPr>
              <w:jc w:val="both"/>
              <w:rPr>
                <w:sz w:val="22"/>
                <w:szCs w:val="22"/>
                <w:lang w:val="ka-GE"/>
              </w:rPr>
            </w:pPr>
            <w:r>
              <w:rPr>
                <w:sz w:val="22"/>
                <w:szCs w:val="22"/>
                <w:lang w:val="ka-GE"/>
              </w:rPr>
              <w:t xml:space="preserve">ბ) </w:t>
            </w:r>
            <w:r w:rsidR="00134C8F">
              <w:rPr>
                <w:sz w:val="22"/>
                <w:szCs w:val="22"/>
                <w:lang w:val="ka-GE"/>
              </w:rPr>
              <w:t>იპოთეკური ობლიგაციების</w:t>
            </w:r>
            <w:r>
              <w:rPr>
                <w:sz w:val="22"/>
                <w:szCs w:val="22"/>
                <w:lang w:val="ka-GE"/>
              </w:rPr>
              <w:t xml:space="preserve"> პროგრამის </w:t>
            </w:r>
            <w:r w:rsidR="00134C8F">
              <w:rPr>
                <w:sz w:val="22"/>
                <w:szCs w:val="22"/>
                <w:lang w:val="ka-GE"/>
              </w:rPr>
              <w:t>განხორციელება</w:t>
            </w:r>
            <w:r w:rsidR="00F76A3A">
              <w:rPr>
                <w:sz w:val="22"/>
                <w:szCs w:val="22"/>
                <w:lang w:val="ka-GE"/>
              </w:rPr>
              <w:t xml:space="preserve">მ შესაძლოა </w:t>
            </w:r>
            <w:r>
              <w:rPr>
                <w:sz w:val="22"/>
                <w:szCs w:val="22"/>
                <w:lang w:val="ka-GE"/>
              </w:rPr>
              <w:t xml:space="preserve">საფრთხეს </w:t>
            </w:r>
            <w:r w:rsidR="00F76A3A">
              <w:rPr>
                <w:sz w:val="22"/>
                <w:szCs w:val="22"/>
                <w:lang w:val="ka-GE"/>
              </w:rPr>
              <w:t>შეუქმნა</w:t>
            </w:r>
            <w:r>
              <w:rPr>
                <w:sz w:val="22"/>
                <w:szCs w:val="22"/>
                <w:lang w:val="ka-GE"/>
              </w:rPr>
              <w:t>ს</w:t>
            </w:r>
            <w:r w:rsidR="00134C8F">
              <w:rPr>
                <w:sz w:val="22"/>
                <w:szCs w:val="22"/>
                <w:lang w:val="ka-GE"/>
              </w:rPr>
              <w:t xml:space="preserve"> ფინანსური ინსტიტუტის </w:t>
            </w:r>
            <w:r>
              <w:rPr>
                <w:sz w:val="22"/>
                <w:szCs w:val="22"/>
                <w:lang w:val="ka-GE"/>
              </w:rPr>
              <w:t>სტაბილურ</w:t>
            </w:r>
            <w:r w:rsidR="00134C8F">
              <w:rPr>
                <w:sz w:val="22"/>
                <w:szCs w:val="22"/>
                <w:lang w:val="ka-GE"/>
              </w:rPr>
              <w:t xml:space="preserve"> ან ჯანსაღ</w:t>
            </w:r>
            <w:r>
              <w:rPr>
                <w:sz w:val="22"/>
                <w:szCs w:val="22"/>
                <w:lang w:val="ka-GE"/>
              </w:rPr>
              <w:t xml:space="preserve"> ფუნქციონირებას</w:t>
            </w:r>
            <w:r w:rsidR="00134C8F">
              <w:rPr>
                <w:sz w:val="22"/>
                <w:szCs w:val="22"/>
                <w:lang w:val="ka-GE"/>
              </w:rPr>
              <w:t xml:space="preserve"> ან ეროვნული ბანკის მიერ ეფექტიანი ზედამხედველობის განხორციელებას</w:t>
            </w:r>
            <w:r w:rsidR="00151B55">
              <w:rPr>
                <w:sz w:val="22"/>
                <w:szCs w:val="22"/>
                <w:lang w:val="ka-GE"/>
              </w:rPr>
              <w:t>.</w:t>
            </w:r>
          </w:p>
        </w:tc>
      </w:tr>
      <w:tr w:rsidR="0074322D" w:rsidRPr="005C26E6" w14:paraId="7127CA7E" w14:textId="63FE9F65" w:rsidTr="00AB016D">
        <w:tc>
          <w:tcPr>
            <w:tcW w:w="9639" w:type="dxa"/>
          </w:tcPr>
          <w:p w14:paraId="3A35E392" w14:textId="04765D4A" w:rsidR="00C846B8" w:rsidRPr="00C846B8" w:rsidRDefault="00C05444" w:rsidP="00EC1596">
            <w:pPr>
              <w:jc w:val="both"/>
              <w:rPr>
                <w:sz w:val="22"/>
                <w:szCs w:val="22"/>
                <w:lang w:val="ka-GE"/>
              </w:rPr>
            </w:pPr>
            <w:r>
              <w:rPr>
                <w:sz w:val="22"/>
                <w:szCs w:val="22"/>
                <w:lang w:val="ka-GE"/>
              </w:rPr>
              <w:t>8</w:t>
            </w:r>
            <w:r w:rsidR="0074322D" w:rsidRPr="00AB016D">
              <w:rPr>
                <w:sz w:val="22"/>
                <w:szCs w:val="22"/>
                <w:lang w:val="ka-GE"/>
              </w:rPr>
              <w:t xml:space="preserve">.  ეროვნული ბანკი </w:t>
            </w:r>
            <w:r w:rsidR="00554BC7">
              <w:rPr>
                <w:sz w:val="22"/>
                <w:szCs w:val="22"/>
                <w:lang w:val="ka-GE"/>
              </w:rPr>
              <w:t>განცხადების დაკმაყოფილების</w:t>
            </w:r>
            <w:r w:rsidR="0074322D" w:rsidRPr="00AB016D">
              <w:rPr>
                <w:sz w:val="22"/>
                <w:szCs w:val="22"/>
                <w:lang w:val="ka-GE"/>
              </w:rPr>
              <w:t xml:space="preserve"> ან განცხადების დაკმაყოფილებაზე</w:t>
            </w:r>
            <w:r w:rsidR="0020749B">
              <w:rPr>
                <w:sz w:val="22"/>
                <w:szCs w:val="22"/>
                <w:lang w:val="ka-GE"/>
              </w:rPr>
              <w:t xml:space="preserve"> </w:t>
            </w:r>
            <w:r w:rsidR="0074322D" w:rsidRPr="00AB016D">
              <w:rPr>
                <w:sz w:val="22"/>
                <w:szCs w:val="22"/>
                <w:lang w:val="ka-GE"/>
              </w:rPr>
              <w:t>უარის თქმის თაობაზე გადაწყვეტილებას  იღებს განცხადების მიღებიდან 1 თვის  ვადაში, რის შესახებაც</w:t>
            </w:r>
            <w:r w:rsidR="0020749B">
              <w:rPr>
                <w:sz w:val="22"/>
                <w:szCs w:val="22"/>
                <w:lang w:val="ka-GE"/>
              </w:rPr>
              <w:t xml:space="preserve"> </w:t>
            </w:r>
            <w:r w:rsidR="0074322D" w:rsidRPr="00AB016D">
              <w:rPr>
                <w:sz w:val="22"/>
                <w:szCs w:val="22"/>
                <w:lang w:val="ka-GE"/>
              </w:rPr>
              <w:t>იგი წერილობით აცნობებს განმცხადებელს. უარის შემთხვევაში ეროვნული ბანკი ვალდებულია</w:t>
            </w:r>
            <w:r w:rsidR="0020749B">
              <w:rPr>
                <w:sz w:val="22"/>
                <w:szCs w:val="22"/>
                <w:lang w:val="ka-GE"/>
              </w:rPr>
              <w:t xml:space="preserve"> </w:t>
            </w:r>
            <w:r w:rsidR="0074322D" w:rsidRPr="00AB016D">
              <w:rPr>
                <w:sz w:val="22"/>
                <w:szCs w:val="22"/>
                <w:lang w:val="ka-GE"/>
              </w:rPr>
              <w:t>განმცხადებელს დაუყოვნებლივ წერილობით აცნობოს დასაბუთებული პასუხი.</w:t>
            </w:r>
            <w:r w:rsidR="00EC1596">
              <w:rPr>
                <w:sz w:val="22"/>
                <w:szCs w:val="22"/>
              </w:rPr>
              <w:t xml:space="preserve"> </w:t>
            </w:r>
          </w:p>
        </w:tc>
      </w:tr>
      <w:tr w:rsidR="0074322D" w:rsidRPr="005C26E6" w14:paraId="032FADDC" w14:textId="4E3413DA" w:rsidTr="00AB016D">
        <w:tc>
          <w:tcPr>
            <w:tcW w:w="9639" w:type="dxa"/>
          </w:tcPr>
          <w:p w14:paraId="3EEA74F4" w14:textId="678ED5C6" w:rsidR="0074322D" w:rsidRPr="00AB016D" w:rsidRDefault="00C05444" w:rsidP="00AB016D">
            <w:pPr>
              <w:jc w:val="both"/>
              <w:rPr>
                <w:sz w:val="22"/>
                <w:szCs w:val="22"/>
                <w:lang w:val="ka-GE"/>
              </w:rPr>
            </w:pPr>
            <w:r>
              <w:rPr>
                <w:sz w:val="22"/>
                <w:szCs w:val="22"/>
                <w:lang w:val="ka-GE"/>
              </w:rPr>
              <w:t>9</w:t>
            </w:r>
            <w:r w:rsidR="0074322D" w:rsidRPr="00AB016D">
              <w:rPr>
                <w:sz w:val="22"/>
                <w:szCs w:val="22"/>
                <w:lang w:val="ka-GE"/>
              </w:rPr>
              <w:t>. ავტორიზაციის/თანხმობის მიღებისთვის საჭირო ნებისმიერი ინფორმაცია, რომელიც საჯაროდ ხელმისაწვდომია ან უკვე წარდგენილია ეროვნული ბანკისთვის, შეიძლება განცხადებაში ჩართული იქნეს მასზე მითითების სახით. ჩართული ინფორმაცია უნდა იყოს მკაფიოდ იდენტიფიცირებული, კერძოდ</w:t>
            </w:r>
            <w:r w:rsidR="009C2063">
              <w:rPr>
                <w:sz w:val="22"/>
                <w:szCs w:val="22"/>
                <w:lang w:val="ka-GE"/>
              </w:rPr>
              <w:t xml:space="preserve"> მითითებული უნდა </w:t>
            </w:r>
            <w:r w:rsidR="00297CCF">
              <w:rPr>
                <w:sz w:val="22"/>
                <w:szCs w:val="22"/>
                <w:lang w:val="ka-GE"/>
              </w:rPr>
              <w:t>იყოს</w:t>
            </w:r>
            <w:r w:rsidR="0074322D" w:rsidRPr="00AB016D">
              <w:rPr>
                <w:sz w:val="22"/>
                <w:szCs w:val="22"/>
                <w:lang w:val="ka-GE"/>
              </w:rPr>
              <w:t xml:space="preserve"> ინფორმაციის წყარო, </w:t>
            </w:r>
            <w:r w:rsidR="00297CCF">
              <w:rPr>
                <w:sz w:val="22"/>
                <w:szCs w:val="22"/>
                <w:lang w:val="ka-GE"/>
              </w:rPr>
              <w:t xml:space="preserve">დოკუმენტის </w:t>
            </w:r>
            <w:r w:rsidR="0074322D" w:rsidRPr="00AB016D">
              <w:rPr>
                <w:sz w:val="22"/>
                <w:szCs w:val="22"/>
                <w:lang w:val="ka-GE"/>
              </w:rPr>
              <w:t xml:space="preserve">გვერდის ნომერი, პუნქტი/პარაგრაფი და სხვა მახასიათებლები. </w:t>
            </w:r>
            <w:r w:rsidR="009749EA">
              <w:rPr>
                <w:sz w:val="22"/>
                <w:szCs w:val="22"/>
                <w:lang w:val="ka-GE"/>
              </w:rPr>
              <w:t xml:space="preserve">ძნელად ხელმისაწვდომი </w:t>
            </w:r>
            <w:r w:rsidR="0074322D" w:rsidRPr="00AB016D">
              <w:rPr>
                <w:sz w:val="22"/>
                <w:szCs w:val="22"/>
                <w:lang w:val="ka-GE"/>
              </w:rPr>
              <w:t>ინფორმაცია</w:t>
            </w:r>
            <w:r w:rsidR="009749EA">
              <w:rPr>
                <w:sz w:val="22"/>
                <w:szCs w:val="22"/>
                <w:lang w:val="ka-GE"/>
              </w:rPr>
              <w:t xml:space="preserve"> უშუალოდ უნდა იქნეს</w:t>
            </w:r>
            <w:r w:rsidR="0074322D" w:rsidRPr="00AB016D">
              <w:rPr>
                <w:sz w:val="22"/>
                <w:szCs w:val="22"/>
                <w:lang w:val="ka-GE"/>
              </w:rPr>
              <w:t xml:space="preserve"> წარდგენილი.</w:t>
            </w:r>
          </w:p>
        </w:tc>
      </w:tr>
      <w:tr w:rsidR="0074322D" w:rsidRPr="005C26E6" w14:paraId="0887CB5F" w14:textId="4395778D" w:rsidTr="00AB016D">
        <w:tc>
          <w:tcPr>
            <w:tcW w:w="9639" w:type="dxa"/>
          </w:tcPr>
          <w:p w14:paraId="58183DEE" w14:textId="79E5C106" w:rsidR="0074322D" w:rsidRPr="00AB016D" w:rsidRDefault="00C05444" w:rsidP="00AB016D">
            <w:pPr>
              <w:jc w:val="both"/>
              <w:rPr>
                <w:sz w:val="22"/>
                <w:szCs w:val="22"/>
                <w:lang w:val="ka-GE"/>
              </w:rPr>
            </w:pPr>
            <w:r>
              <w:rPr>
                <w:sz w:val="22"/>
                <w:szCs w:val="22"/>
                <w:lang w:val="ka-GE"/>
              </w:rPr>
              <w:t>10</w:t>
            </w:r>
            <w:r w:rsidR="0074322D" w:rsidRPr="00AB016D">
              <w:rPr>
                <w:sz w:val="22"/>
                <w:szCs w:val="22"/>
                <w:lang w:val="ka-GE"/>
              </w:rPr>
              <w:t xml:space="preserve">. ავტორიზაციის/თანხმობის მიღების შემდეგ  </w:t>
            </w:r>
            <w:r w:rsidR="00297CCF">
              <w:rPr>
                <w:sz w:val="22"/>
                <w:szCs w:val="22"/>
                <w:lang w:val="ka-GE"/>
              </w:rPr>
              <w:t xml:space="preserve">ამ წესის </w:t>
            </w:r>
            <w:r w:rsidR="0074322D" w:rsidRPr="00AB016D">
              <w:rPr>
                <w:rFonts w:cstheme="minorHAnsi"/>
                <w:sz w:val="22"/>
                <w:szCs w:val="22"/>
                <w:lang w:val="ka-GE"/>
              </w:rPr>
              <w:t xml:space="preserve">დანართი N1-ით ან/და დანართი N2-ით გათვალისწინებულ მონაცემებში </w:t>
            </w:r>
            <w:r w:rsidR="0074322D" w:rsidRPr="00AB016D">
              <w:rPr>
                <w:sz w:val="22"/>
                <w:szCs w:val="22"/>
                <w:lang w:val="ka-GE"/>
              </w:rPr>
              <w:t xml:space="preserve">ნებისმიერი ცვლილება </w:t>
            </w:r>
            <w:r w:rsidR="00297CCF">
              <w:rPr>
                <w:sz w:val="22"/>
                <w:szCs w:val="22"/>
                <w:lang w:val="ka-GE"/>
              </w:rPr>
              <w:t>შეიძლება</w:t>
            </w:r>
            <w:r w:rsidR="0074322D" w:rsidRPr="00AB016D">
              <w:rPr>
                <w:sz w:val="22"/>
                <w:szCs w:val="22"/>
                <w:lang w:val="ka-GE"/>
              </w:rPr>
              <w:t xml:space="preserve"> განხორციელდეს მხოლოდ ეროვნული ბანკის წინასწარი თანხმობით.</w:t>
            </w:r>
          </w:p>
        </w:tc>
      </w:tr>
      <w:tr w:rsidR="0074322D" w:rsidRPr="005C26E6" w14:paraId="5AC51F29" w14:textId="350CA7E8" w:rsidTr="00AB016D">
        <w:tc>
          <w:tcPr>
            <w:tcW w:w="9639" w:type="dxa"/>
          </w:tcPr>
          <w:p w14:paraId="41923DF5" w14:textId="089FB66C" w:rsidR="0074322D" w:rsidRPr="00AB016D" w:rsidRDefault="0074322D" w:rsidP="00AB016D">
            <w:pPr>
              <w:jc w:val="both"/>
              <w:rPr>
                <w:sz w:val="22"/>
                <w:szCs w:val="22"/>
              </w:rPr>
            </w:pPr>
            <w:r w:rsidRPr="00AB016D">
              <w:rPr>
                <w:sz w:val="22"/>
                <w:szCs w:val="22"/>
                <w:lang w:val="ka-GE"/>
              </w:rPr>
              <w:t>1</w:t>
            </w:r>
            <w:r w:rsidR="00C05444">
              <w:rPr>
                <w:sz w:val="22"/>
                <w:szCs w:val="22"/>
                <w:lang w:val="ka-GE"/>
              </w:rPr>
              <w:t>1</w:t>
            </w:r>
            <w:r w:rsidRPr="00AB016D">
              <w:rPr>
                <w:sz w:val="22"/>
                <w:szCs w:val="22"/>
                <w:lang w:val="ka-GE"/>
              </w:rPr>
              <w:t>. ამ მუხლით გათვალისწინებული განცხადება და ინფორმაცია/დოკუმენტები ეროვნულ ბანკს წარედგინება როგორც მატერიალური ფორმით, ისე ელექტრონულად</w:t>
            </w:r>
            <w:r w:rsidR="00297CCF">
              <w:rPr>
                <w:sz w:val="22"/>
                <w:szCs w:val="22"/>
                <w:lang w:val="ka-GE"/>
              </w:rPr>
              <w:t>, ელექტრონული ფოსტის მისამართზე</w:t>
            </w:r>
            <w:r w:rsidRPr="00AB016D">
              <w:rPr>
                <w:sz w:val="22"/>
                <w:szCs w:val="22"/>
                <w:lang w:val="ka-GE"/>
              </w:rPr>
              <w:t xml:space="preserve">: CB@nbg.gov.ge. </w:t>
            </w:r>
          </w:p>
        </w:tc>
      </w:tr>
      <w:tr w:rsidR="0074322D" w:rsidRPr="005C26E6" w14:paraId="4A5CFA9E" w14:textId="77777777" w:rsidTr="00AB016D">
        <w:tc>
          <w:tcPr>
            <w:tcW w:w="9639" w:type="dxa"/>
          </w:tcPr>
          <w:p w14:paraId="50ABAA74" w14:textId="3331832E" w:rsidR="0074322D" w:rsidRPr="00AB016D" w:rsidRDefault="0074322D" w:rsidP="00AB016D">
            <w:pPr>
              <w:jc w:val="both"/>
              <w:rPr>
                <w:sz w:val="22"/>
                <w:szCs w:val="22"/>
                <w:lang w:val="ka-GE"/>
              </w:rPr>
            </w:pPr>
            <w:r w:rsidRPr="00AB016D">
              <w:rPr>
                <w:sz w:val="22"/>
                <w:szCs w:val="22"/>
                <w:lang w:val="ka-GE"/>
              </w:rPr>
              <w:t>1</w:t>
            </w:r>
            <w:r w:rsidR="00C05444">
              <w:rPr>
                <w:sz w:val="22"/>
                <w:szCs w:val="22"/>
                <w:lang w:val="ka-GE"/>
              </w:rPr>
              <w:t>2</w:t>
            </w:r>
            <w:r w:rsidRPr="00AB016D">
              <w:rPr>
                <w:sz w:val="22"/>
                <w:szCs w:val="22"/>
                <w:lang w:val="ka-GE"/>
              </w:rPr>
              <w:t>. კომერციული ბანკისთვის ავტორიზაციის/თანხმობის მიცემისთანავე ეროვნული ბანკი ინფორმაციას აქვეყნებს თავის ოფიციალურ ვებ-გვერდზე. გამოქვეყნებას ექვემდებარება აგრეთვე კომერციული ბანკის მიერ ეროვნული ბანკისთვის წარდგენილი განცხადება და თანდართული ინფორმაცია/დოკუმენტები</w:t>
            </w:r>
            <w:r w:rsidR="0086738F">
              <w:rPr>
                <w:sz w:val="22"/>
                <w:szCs w:val="22"/>
                <w:lang w:val="ka-GE"/>
              </w:rPr>
              <w:t xml:space="preserve">, გარდა </w:t>
            </w:r>
            <w:r w:rsidR="009749EA">
              <w:rPr>
                <w:sz w:val="22"/>
                <w:szCs w:val="22"/>
                <w:lang w:val="ka-GE"/>
              </w:rPr>
              <w:t xml:space="preserve">იმ ფიზიკური პირების </w:t>
            </w:r>
            <w:r w:rsidR="0086738F">
              <w:rPr>
                <w:sz w:val="22"/>
                <w:szCs w:val="22"/>
                <w:lang w:val="ka-GE"/>
              </w:rPr>
              <w:t>პერსონალურ</w:t>
            </w:r>
            <w:r w:rsidR="009749EA">
              <w:rPr>
                <w:sz w:val="22"/>
                <w:szCs w:val="22"/>
                <w:lang w:val="ka-GE"/>
              </w:rPr>
              <w:t>ი</w:t>
            </w:r>
            <w:r w:rsidR="0086738F">
              <w:rPr>
                <w:sz w:val="22"/>
                <w:szCs w:val="22"/>
                <w:lang w:val="ka-GE"/>
              </w:rPr>
              <w:t xml:space="preserve"> </w:t>
            </w:r>
            <w:r w:rsidR="009749EA">
              <w:rPr>
                <w:sz w:val="22"/>
                <w:szCs w:val="22"/>
                <w:lang w:val="ka-GE"/>
              </w:rPr>
              <w:t>მონაცემებისა, რომლებიც არ არიან კომერციული ბანკის სამეთვალყურეო საბჭოსა და ხელმძღვანელი ორგანოს წევრები</w:t>
            </w:r>
            <w:r w:rsidRPr="00AB016D">
              <w:rPr>
                <w:sz w:val="22"/>
                <w:szCs w:val="22"/>
                <w:lang w:val="ka-GE"/>
              </w:rPr>
              <w:t>. ეროვნული ბანკი უფლებამოსილია, განმცხადებლის თხოვნით, არ გამოაქვეყნოს ცალკეული ინფორმაცია, თუ:</w:t>
            </w:r>
          </w:p>
          <w:p w14:paraId="7597063E" w14:textId="315B55C1" w:rsidR="0074322D" w:rsidRPr="00AB016D" w:rsidRDefault="0074322D" w:rsidP="00AB016D">
            <w:pPr>
              <w:jc w:val="both"/>
              <w:rPr>
                <w:sz w:val="22"/>
                <w:szCs w:val="22"/>
                <w:lang w:val="ka-GE"/>
              </w:rPr>
            </w:pPr>
            <w:r w:rsidRPr="00AB016D">
              <w:rPr>
                <w:sz w:val="22"/>
                <w:szCs w:val="22"/>
                <w:lang w:val="ka-GE"/>
              </w:rPr>
              <w:t>ა) ინფორმაციის გამჟღავნება ეწინააღმდეგება საჯარო ინტერესს;</w:t>
            </w:r>
          </w:p>
          <w:p w14:paraId="04F1C69C" w14:textId="06F96993" w:rsidR="0074322D" w:rsidRPr="00AB016D" w:rsidRDefault="0074322D" w:rsidP="00A1008C">
            <w:pPr>
              <w:jc w:val="both"/>
              <w:rPr>
                <w:sz w:val="22"/>
                <w:szCs w:val="22"/>
                <w:lang w:val="ka-GE"/>
              </w:rPr>
            </w:pPr>
            <w:r w:rsidRPr="00AB016D">
              <w:rPr>
                <w:sz w:val="22"/>
                <w:szCs w:val="22"/>
                <w:lang w:val="ka-GE"/>
              </w:rPr>
              <w:t xml:space="preserve">ბ) ინფორმაციის გამჟღავნება </w:t>
            </w:r>
            <w:r w:rsidR="00A1008C">
              <w:rPr>
                <w:sz w:val="22"/>
                <w:szCs w:val="22"/>
                <w:lang w:val="ka-GE"/>
              </w:rPr>
              <w:t>მნიშვნელოვნად</w:t>
            </w:r>
            <w:r w:rsidRPr="00AB016D">
              <w:rPr>
                <w:sz w:val="22"/>
                <w:szCs w:val="22"/>
                <w:lang w:val="ka-GE"/>
              </w:rPr>
              <w:t xml:space="preserve"> დააზიანებს კომერციულ ბანკს და, ამავდროულად, გამოქვეყნებაზე უარის თქმა შეცდომაში შემყვანი არ იქნება პოტენციური ინვესტორებისათვის.</w:t>
            </w:r>
          </w:p>
        </w:tc>
      </w:tr>
      <w:tr w:rsidR="0074322D" w:rsidRPr="005C26E6" w14:paraId="31F56941" w14:textId="225FAF35" w:rsidTr="00AB016D">
        <w:tc>
          <w:tcPr>
            <w:tcW w:w="9639" w:type="dxa"/>
          </w:tcPr>
          <w:p w14:paraId="4BD13781" w14:textId="0D825913" w:rsidR="0074322D" w:rsidRPr="00AB016D" w:rsidRDefault="0074322D" w:rsidP="00AB016D">
            <w:pPr>
              <w:jc w:val="both"/>
              <w:rPr>
                <w:sz w:val="22"/>
                <w:szCs w:val="22"/>
                <w:lang w:val="ka-GE"/>
              </w:rPr>
            </w:pPr>
            <w:r w:rsidRPr="00AB016D">
              <w:rPr>
                <w:sz w:val="22"/>
                <w:szCs w:val="22"/>
                <w:lang w:val="ka-GE"/>
              </w:rPr>
              <w:t>1</w:t>
            </w:r>
            <w:r w:rsidR="00C05444">
              <w:rPr>
                <w:sz w:val="22"/>
                <w:szCs w:val="22"/>
                <w:lang w:val="ka-GE"/>
              </w:rPr>
              <w:t>3</w:t>
            </w:r>
            <w:r w:rsidRPr="00AB016D">
              <w:rPr>
                <w:sz w:val="22"/>
                <w:szCs w:val="22"/>
                <w:lang w:val="ka-GE"/>
              </w:rPr>
              <w:t>. კომერციულ ბანკს უფლება აქვს განახორციელოს იპოთეკური ობლიგაციების საჯარო შეთავაზება, რა შემთხვევაშიც დამატებით მოქმედებს ფასიანი ქაღალდების შესახებ კანონმდებლობით განსაზღვრული მოთხოვნები ფასიანი ქაღალდების საჯარო შეთავაზებასთან დაკავშირებით.</w:t>
            </w:r>
          </w:p>
        </w:tc>
      </w:tr>
      <w:tr w:rsidR="0074322D" w:rsidRPr="005C26E6" w14:paraId="07C1500E" w14:textId="344B32FF" w:rsidTr="00AB016D">
        <w:tc>
          <w:tcPr>
            <w:tcW w:w="9639" w:type="dxa"/>
          </w:tcPr>
          <w:p w14:paraId="43F02007" w14:textId="77777777" w:rsidR="0074322D" w:rsidRPr="00AB016D" w:rsidRDefault="0074322D" w:rsidP="00AB016D">
            <w:pPr>
              <w:jc w:val="both"/>
              <w:rPr>
                <w:sz w:val="22"/>
                <w:szCs w:val="22"/>
              </w:rPr>
            </w:pPr>
          </w:p>
        </w:tc>
      </w:tr>
      <w:tr w:rsidR="0074322D" w:rsidRPr="005C26E6" w14:paraId="20F5AE3C" w14:textId="6E0979A4" w:rsidTr="00AB016D">
        <w:tc>
          <w:tcPr>
            <w:tcW w:w="9639" w:type="dxa"/>
          </w:tcPr>
          <w:p w14:paraId="7C8C8541" w14:textId="26C8C8E3" w:rsidR="0074322D" w:rsidRPr="007D758F" w:rsidRDefault="0074322D" w:rsidP="00AB016D">
            <w:pPr>
              <w:pStyle w:val="Heading3"/>
              <w:spacing w:after="160"/>
              <w:jc w:val="both"/>
              <w:outlineLvl w:val="2"/>
              <w:rPr>
                <w:rFonts w:ascii="Sylfaen" w:hAnsi="Sylfaen" w:cstheme="minorHAnsi"/>
                <w:b/>
                <w:color w:val="000000" w:themeColor="text1"/>
                <w:sz w:val="22"/>
                <w:szCs w:val="22"/>
                <w:lang w:val="ka-GE"/>
              </w:rPr>
            </w:pPr>
            <w:r w:rsidRPr="007D758F">
              <w:rPr>
                <w:rFonts w:ascii="Sylfaen" w:hAnsi="Sylfaen" w:cstheme="minorHAnsi"/>
                <w:b/>
                <w:color w:val="000000" w:themeColor="text1"/>
                <w:sz w:val="22"/>
                <w:szCs w:val="22"/>
                <w:lang w:val="ka-GE"/>
              </w:rPr>
              <w:lastRenderedPageBreak/>
              <w:t xml:space="preserve">მუხლი </w:t>
            </w:r>
            <w:r w:rsidR="009C2063" w:rsidRPr="007D758F">
              <w:rPr>
                <w:rFonts w:ascii="Sylfaen" w:hAnsi="Sylfaen" w:cstheme="minorHAnsi"/>
                <w:b/>
                <w:color w:val="000000" w:themeColor="text1"/>
                <w:sz w:val="22"/>
                <w:szCs w:val="22"/>
                <w:lang w:val="ka-GE"/>
              </w:rPr>
              <w:t>3</w:t>
            </w:r>
            <w:r w:rsidRPr="007D758F">
              <w:rPr>
                <w:rFonts w:ascii="Sylfaen" w:hAnsi="Sylfaen" w:cstheme="minorHAnsi"/>
                <w:b/>
                <w:color w:val="000000" w:themeColor="text1"/>
                <w:sz w:val="22"/>
                <w:szCs w:val="22"/>
                <w:lang w:val="ka-GE"/>
              </w:rPr>
              <w:t>. ეროვნული ბანკის</w:t>
            </w:r>
            <w:r w:rsidR="00297CCF">
              <w:rPr>
                <w:rFonts w:ascii="Sylfaen" w:hAnsi="Sylfaen" w:cstheme="minorHAnsi"/>
                <w:b/>
                <w:color w:val="000000" w:themeColor="text1"/>
                <w:sz w:val="22"/>
                <w:szCs w:val="22"/>
                <w:lang w:val="ka-GE"/>
              </w:rPr>
              <w:t>ა</w:t>
            </w:r>
            <w:r w:rsidRPr="007D758F">
              <w:rPr>
                <w:rFonts w:ascii="Sylfaen" w:hAnsi="Sylfaen" w:cstheme="minorHAnsi"/>
                <w:b/>
                <w:color w:val="000000" w:themeColor="text1"/>
                <w:sz w:val="22"/>
                <w:szCs w:val="22"/>
                <w:lang w:val="ka-GE"/>
              </w:rPr>
              <w:t xml:space="preserve"> და პროგრამის კრედიტორებისთვის ინფორმაციის წარდგენა</w:t>
            </w:r>
          </w:p>
        </w:tc>
      </w:tr>
      <w:tr w:rsidR="0074322D" w:rsidRPr="005C26E6" w14:paraId="439F204B" w14:textId="35E11868" w:rsidTr="00AB016D">
        <w:tc>
          <w:tcPr>
            <w:tcW w:w="9639" w:type="dxa"/>
          </w:tcPr>
          <w:p w14:paraId="1772291F" w14:textId="5FE1F242" w:rsidR="0074322D" w:rsidRPr="00AB016D" w:rsidRDefault="0074322D" w:rsidP="00AB016D">
            <w:pPr>
              <w:jc w:val="both"/>
              <w:rPr>
                <w:rFonts w:cstheme="minorHAnsi"/>
                <w:sz w:val="22"/>
                <w:szCs w:val="22"/>
                <w:lang w:val="ka-GE"/>
              </w:rPr>
            </w:pPr>
            <w:r w:rsidRPr="00AB016D">
              <w:rPr>
                <w:rFonts w:cstheme="minorHAnsi"/>
                <w:sz w:val="22"/>
                <w:szCs w:val="22"/>
                <w:lang w:val="ka-GE"/>
              </w:rPr>
              <w:t>1. იპოთეკური ობლიგაციების გამოშვებამდე 3 სამუშაო დღით ადრე, კომერციული ბანკი ვალდებულია ეროვნულ ბანკს წარუდგინოს შემდეგი ინფორმაცია/დოკუმენტები:</w:t>
            </w:r>
          </w:p>
        </w:tc>
      </w:tr>
      <w:tr w:rsidR="0074322D" w:rsidRPr="005C26E6" w14:paraId="789F7A9A" w14:textId="11A04DDA" w:rsidTr="00AB016D">
        <w:tc>
          <w:tcPr>
            <w:tcW w:w="9639" w:type="dxa"/>
          </w:tcPr>
          <w:p w14:paraId="4DD75187" w14:textId="7A3F8E29" w:rsidR="0074322D" w:rsidRPr="00AB016D" w:rsidRDefault="0074322D">
            <w:pPr>
              <w:jc w:val="both"/>
              <w:rPr>
                <w:rFonts w:cstheme="minorHAnsi"/>
                <w:sz w:val="22"/>
                <w:szCs w:val="22"/>
                <w:lang w:val="ka-GE"/>
              </w:rPr>
            </w:pPr>
            <w:r w:rsidRPr="00AB016D">
              <w:rPr>
                <w:rFonts w:cstheme="minorHAnsi"/>
                <w:sz w:val="22"/>
                <w:szCs w:val="22"/>
                <w:lang w:val="ka-GE"/>
              </w:rPr>
              <w:t>ა) იპოთეკური ობლიგაციების პროგრამის შესახებ შეტყობინება ამ წესის</w:t>
            </w:r>
            <w:r w:rsidR="009C2063">
              <w:rPr>
                <w:rFonts w:cstheme="minorHAnsi"/>
                <w:sz w:val="22"/>
                <w:szCs w:val="22"/>
                <w:lang w:val="ka-GE"/>
              </w:rPr>
              <w:t xml:space="preserve"> </w:t>
            </w:r>
            <w:r w:rsidRPr="00AB016D">
              <w:rPr>
                <w:rFonts w:cstheme="minorHAnsi"/>
                <w:sz w:val="22"/>
                <w:szCs w:val="22"/>
                <w:lang w:val="ka-GE"/>
              </w:rPr>
              <w:t>დანართი</w:t>
            </w:r>
            <w:r w:rsidR="009C2063">
              <w:rPr>
                <w:rFonts w:cstheme="minorHAnsi"/>
                <w:sz w:val="22"/>
                <w:szCs w:val="22"/>
                <w:lang w:val="ka-GE"/>
              </w:rPr>
              <w:t xml:space="preserve"> </w:t>
            </w:r>
            <w:r w:rsidR="009C2063" w:rsidRPr="00AB016D">
              <w:rPr>
                <w:rFonts w:cstheme="minorHAnsi"/>
                <w:sz w:val="22"/>
                <w:szCs w:val="22"/>
                <w:lang w:val="ka-GE"/>
              </w:rPr>
              <w:t>N3</w:t>
            </w:r>
            <w:r w:rsidR="009C2063">
              <w:rPr>
                <w:rFonts w:cstheme="minorHAnsi"/>
                <w:sz w:val="22"/>
                <w:szCs w:val="22"/>
                <w:lang w:val="ka-GE"/>
              </w:rPr>
              <w:t>-ით</w:t>
            </w:r>
            <w:r w:rsidRPr="00AB016D">
              <w:rPr>
                <w:rFonts w:cstheme="minorHAnsi"/>
                <w:sz w:val="22"/>
                <w:szCs w:val="22"/>
                <w:lang w:val="ka-GE"/>
              </w:rPr>
              <w:t xml:space="preserve"> გათვალისწინებული ფორმით;</w:t>
            </w:r>
          </w:p>
        </w:tc>
      </w:tr>
      <w:tr w:rsidR="0074322D" w:rsidRPr="005C26E6" w14:paraId="48214C23" w14:textId="585F7DC3" w:rsidTr="00AB016D">
        <w:tc>
          <w:tcPr>
            <w:tcW w:w="9639" w:type="dxa"/>
          </w:tcPr>
          <w:p w14:paraId="626873E2" w14:textId="54BA844D" w:rsidR="0074322D" w:rsidRPr="00AB016D" w:rsidRDefault="0074322D" w:rsidP="00AB016D">
            <w:pPr>
              <w:jc w:val="both"/>
              <w:rPr>
                <w:rFonts w:cstheme="minorHAnsi"/>
                <w:sz w:val="22"/>
                <w:szCs w:val="22"/>
                <w:lang w:val="ka-GE"/>
              </w:rPr>
            </w:pPr>
            <w:r w:rsidRPr="00AB016D">
              <w:rPr>
                <w:rFonts w:cstheme="minorHAnsi"/>
                <w:sz w:val="22"/>
                <w:szCs w:val="22"/>
                <w:lang w:val="ka-GE"/>
              </w:rPr>
              <w:t>ბ) კანონის მე-15 მუხლის მე-3 პუნქტის შესაბამისად უზრუნველყოფის აქტივების ზედამხედველის წერილობითი დადასტურება.</w:t>
            </w:r>
          </w:p>
        </w:tc>
      </w:tr>
      <w:tr w:rsidR="0074322D" w:rsidRPr="005C26E6" w14:paraId="0DAA848F" w14:textId="5C32A155" w:rsidTr="00AB016D">
        <w:tc>
          <w:tcPr>
            <w:tcW w:w="9639" w:type="dxa"/>
          </w:tcPr>
          <w:p w14:paraId="1D6419DD" w14:textId="1ABACE5E" w:rsidR="0074322D" w:rsidRPr="00AB016D" w:rsidRDefault="0074322D" w:rsidP="00AB016D">
            <w:pPr>
              <w:jc w:val="both"/>
              <w:rPr>
                <w:rFonts w:cstheme="minorHAnsi"/>
                <w:sz w:val="22"/>
                <w:szCs w:val="22"/>
                <w:lang w:val="ka-GE"/>
              </w:rPr>
            </w:pPr>
            <w:r w:rsidRPr="00AB016D">
              <w:rPr>
                <w:rFonts w:cstheme="minorHAnsi"/>
                <w:sz w:val="22"/>
                <w:szCs w:val="22"/>
                <w:lang w:val="ka-GE"/>
              </w:rPr>
              <w:t>2. კომერციული ბანკი ვალდებულია პროგრამის კრედიტორებს და ეროვნულ ბანკს წარუდგინოს შემდეგი ინფორმაცია/დოკუმენტები:</w:t>
            </w:r>
          </w:p>
        </w:tc>
      </w:tr>
      <w:tr w:rsidR="0074322D" w:rsidRPr="005C26E6" w14:paraId="2473891B" w14:textId="244100EA" w:rsidTr="00AB016D">
        <w:tc>
          <w:tcPr>
            <w:tcW w:w="9639" w:type="dxa"/>
          </w:tcPr>
          <w:p w14:paraId="6CCCCB60" w14:textId="6FC8FED9" w:rsidR="0074322D" w:rsidRPr="00AB016D" w:rsidRDefault="0074322D" w:rsidP="00CB27A8">
            <w:pPr>
              <w:jc w:val="both"/>
              <w:rPr>
                <w:rFonts w:cstheme="minorHAnsi"/>
                <w:sz w:val="22"/>
                <w:szCs w:val="22"/>
                <w:lang w:val="ka-GE"/>
              </w:rPr>
            </w:pPr>
            <w:r w:rsidRPr="00AB016D">
              <w:rPr>
                <w:rFonts w:cstheme="minorHAnsi"/>
                <w:sz w:val="22"/>
                <w:szCs w:val="22"/>
                <w:lang w:val="ka-GE"/>
              </w:rPr>
              <w:t xml:space="preserve">ა) </w:t>
            </w:r>
            <w:r w:rsidRPr="00AB016D">
              <w:rPr>
                <w:rFonts w:cstheme="minorHAnsi"/>
                <w:sz w:val="22"/>
                <w:szCs w:val="22"/>
              </w:rPr>
              <w:t>ყოველი</w:t>
            </w:r>
            <w:r w:rsidRPr="00AB016D">
              <w:rPr>
                <w:rFonts w:cstheme="minorHAnsi"/>
                <w:sz w:val="22"/>
                <w:szCs w:val="22"/>
                <w:lang w:val="ka-GE"/>
              </w:rPr>
              <w:t xml:space="preserve"> კალენდარული წლის დასრულებიდან </w:t>
            </w:r>
            <w:r w:rsidR="00CB27A8">
              <w:rPr>
                <w:rFonts w:cstheme="minorHAnsi"/>
                <w:sz w:val="22"/>
                <w:szCs w:val="22"/>
                <w:lang w:val="ka-GE"/>
              </w:rPr>
              <w:t xml:space="preserve">30 კალენდარული დღის </w:t>
            </w:r>
            <w:r w:rsidRPr="00AB016D">
              <w:rPr>
                <w:rFonts w:cstheme="minorHAnsi"/>
                <w:sz w:val="22"/>
                <w:szCs w:val="22"/>
                <w:lang w:val="ka-GE"/>
              </w:rPr>
              <w:t>ვადაში, კომერციული ბანკის წერილობითი დასტური საქართველოს კანონმდებლობის მოთხოვნებთან იპოთეკური ობლიგაციების პროგრამის შესაბამისობის შესახებ და უზრუნველყოფის აქტივების ზედამხედველის ანგარიში ამ უკანასკნელის მიერ ბოლო კალენდარული წლის განმავლობაში განხორციელებული შემოწმებების შესახებ</w:t>
            </w:r>
            <w:r w:rsidR="009C2063">
              <w:rPr>
                <w:rFonts w:cstheme="minorHAnsi"/>
                <w:sz w:val="22"/>
                <w:szCs w:val="22"/>
                <w:lang w:val="ka-GE"/>
              </w:rPr>
              <w:t>;</w:t>
            </w:r>
          </w:p>
        </w:tc>
      </w:tr>
      <w:tr w:rsidR="0074322D" w:rsidRPr="005C26E6" w14:paraId="0EF54F99" w14:textId="07A30ED3" w:rsidTr="00AB016D">
        <w:tc>
          <w:tcPr>
            <w:tcW w:w="9639" w:type="dxa"/>
          </w:tcPr>
          <w:p w14:paraId="67AC9523" w14:textId="09070C12" w:rsidR="0074322D" w:rsidRDefault="0074322D" w:rsidP="00A1008C">
            <w:pPr>
              <w:jc w:val="both"/>
              <w:rPr>
                <w:sz w:val="22"/>
                <w:szCs w:val="22"/>
                <w:lang w:val="ka-GE"/>
              </w:rPr>
            </w:pPr>
            <w:r w:rsidRPr="00AB016D">
              <w:rPr>
                <w:sz w:val="22"/>
                <w:szCs w:val="22"/>
                <w:lang w:val="ka-GE"/>
              </w:rPr>
              <w:t>ბ) ყოველი კვარტლის დასრულებიდან</w:t>
            </w:r>
            <w:r w:rsidRPr="00AB016D">
              <w:rPr>
                <w:sz w:val="22"/>
                <w:szCs w:val="22"/>
              </w:rPr>
              <w:t xml:space="preserve"> </w:t>
            </w:r>
            <w:r w:rsidR="00CB27A8">
              <w:rPr>
                <w:sz w:val="22"/>
                <w:szCs w:val="22"/>
                <w:lang w:val="ka-GE"/>
              </w:rPr>
              <w:t>30 კალენდარული დღის</w:t>
            </w:r>
            <w:r w:rsidR="00A1008C">
              <w:rPr>
                <w:sz w:val="22"/>
                <w:szCs w:val="22"/>
              </w:rPr>
              <w:t xml:space="preserve"> </w:t>
            </w:r>
            <w:r w:rsidRPr="00AB016D">
              <w:rPr>
                <w:sz w:val="22"/>
                <w:szCs w:val="22"/>
                <w:lang w:val="ka-GE"/>
              </w:rPr>
              <w:t xml:space="preserve">ვადაში, </w:t>
            </w:r>
            <w:r w:rsidRPr="00AB016D">
              <w:rPr>
                <w:rFonts w:cstheme="minorHAnsi"/>
                <w:sz w:val="22"/>
                <w:szCs w:val="22"/>
                <w:lang w:val="ka-GE"/>
              </w:rPr>
              <w:t>იპოთეკური ობლიგაციების პროგრამის შესახებ შეტყობინება ამ წესის დანართი</w:t>
            </w:r>
            <w:r w:rsidR="009C2063">
              <w:rPr>
                <w:rFonts w:cstheme="minorHAnsi"/>
                <w:sz w:val="22"/>
                <w:szCs w:val="22"/>
                <w:lang w:val="ka-GE"/>
              </w:rPr>
              <w:t xml:space="preserve"> </w:t>
            </w:r>
            <w:r w:rsidR="009C2063" w:rsidRPr="00AB016D">
              <w:rPr>
                <w:rFonts w:cstheme="minorHAnsi"/>
                <w:sz w:val="22"/>
                <w:szCs w:val="22"/>
                <w:lang w:val="ka-GE"/>
              </w:rPr>
              <w:t>N3</w:t>
            </w:r>
            <w:r w:rsidR="009C2063">
              <w:rPr>
                <w:rFonts w:cstheme="minorHAnsi"/>
                <w:sz w:val="22"/>
                <w:szCs w:val="22"/>
                <w:lang w:val="ka-GE"/>
              </w:rPr>
              <w:t>-ით</w:t>
            </w:r>
            <w:r w:rsidRPr="00AB016D">
              <w:rPr>
                <w:rFonts w:cstheme="minorHAnsi"/>
                <w:sz w:val="22"/>
                <w:szCs w:val="22"/>
                <w:lang w:val="ka-GE"/>
              </w:rPr>
              <w:t xml:space="preserve"> გათვალისწინებული ფორმით</w:t>
            </w:r>
            <w:r w:rsidRPr="00AB016D">
              <w:rPr>
                <w:sz w:val="22"/>
                <w:szCs w:val="22"/>
                <w:lang w:val="ka-GE"/>
              </w:rPr>
              <w:t>.</w:t>
            </w:r>
          </w:p>
          <w:p w14:paraId="157C6C54" w14:textId="2C9E832C" w:rsidR="008A735C" w:rsidRPr="00AB016D" w:rsidRDefault="008A735C" w:rsidP="00164939">
            <w:pPr>
              <w:jc w:val="both"/>
              <w:rPr>
                <w:sz w:val="22"/>
                <w:szCs w:val="22"/>
                <w:lang w:val="ka-GE"/>
              </w:rPr>
            </w:pPr>
            <w:r>
              <w:rPr>
                <w:sz w:val="22"/>
                <w:szCs w:val="22"/>
                <w:lang w:val="ka-GE"/>
              </w:rPr>
              <w:t xml:space="preserve">3. </w:t>
            </w:r>
            <w:r w:rsidRPr="008A735C">
              <w:rPr>
                <w:sz w:val="22"/>
                <w:szCs w:val="22"/>
                <w:lang w:val="ka-GE"/>
              </w:rPr>
              <w:t xml:space="preserve">თუ ემიტენტი რეფინანსირების ბანკია, </w:t>
            </w:r>
            <w:r w:rsidR="00DC1C4C">
              <w:rPr>
                <w:sz w:val="22"/>
                <w:szCs w:val="22"/>
                <w:lang w:val="ka-GE"/>
              </w:rPr>
              <w:t xml:space="preserve">ამ მუხლის პირველი და მე-2 </w:t>
            </w:r>
            <w:r w:rsidR="00164939">
              <w:rPr>
                <w:sz w:val="22"/>
                <w:szCs w:val="22"/>
                <w:lang w:val="ka-GE"/>
              </w:rPr>
              <w:t>პუნქტებით</w:t>
            </w:r>
            <w:r w:rsidR="00DC1C4C">
              <w:rPr>
                <w:sz w:val="22"/>
                <w:szCs w:val="22"/>
                <w:lang w:val="ka-GE"/>
              </w:rPr>
              <w:t xml:space="preserve"> გათვალისწინებული ინფორმაცია/დოკუმენტები აგრეთვე უნდა მოიცავდეს</w:t>
            </w:r>
            <w:r w:rsidR="00164939">
              <w:rPr>
                <w:sz w:val="22"/>
                <w:szCs w:val="22"/>
                <w:lang w:val="ka-GE"/>
              </w:rPr>
              <w:t xml:space="preserve"> მონაცემებს როგორც მთლიანი</w:t>
            </w:r>
            <w:r w:rsidR="00DC1C4C">
              <w:rPr>
                <w:sz w:val="22"/>
                <w:szCs w:val="22"/>
                <w:lang w:val="ka-GE"/>
              </w:rPr>
              <w:t xml:space="preserve"> რეფინანსირების </w:t>
            </w:r>
            <w:r w:rsidR="00164939">
              <w:rPr>
                <w:sz w:val="22"/>
                <w:szCs w:val="22"/>
                <w:lang w:val="ka-GE"/>
              </w:rPr>
              <w:t xml:space="preserve">ინსტრუმენტების, ისე თითოეული მოვალის ჭრილში შესაბამისი რეფინანსირების ინსტრუმენტის (ინსტრუმენტებისა) და მის (მათ) </w:t>
            </w:r>
            <w:r w:rsidRPr="008A735C">
              <w:rPr>
                <w:sz w:val="22"/>
                <w:szCs w:val="22"/>
                <w:lang w:val="ka-GE"/>
              </w:rPr>
              <w:t>უზრუნველსაყოფად გამოყენებული</w:t>
            </w:r>
            <w:r w:rsidR="00164939">
              <w:rPr>
                <w:sz w:val="22"/>
                <w:szCs w:val="22"/>
                <w:lang w:val="ka-GE"/>
              </w:rPr>
              <w:t xml:space="preserve"> მოვალის</w:t>
            </w:r>
            <w:r w:rsidRPr="008A735C">
              <w:rPr>
                <w:sz w:val="22"/>
                <w:szCs w:val="22"/>
                <w:lang w:val="ka-GE"/>
              </w:rPr>
              <w:t xml:space="preserve"> უზრუნველყოფის აქტივების შესახებ.</w:t>
            </w:r>
          </w:p>
        </w:tc>
      </w:tr>
      <w:tr w:rsidR="0074322D" w:rsidRPr="005C26E6" w14:paraId="0EC5B33E" w14:textId="6154846B" w:rsidTr="00AB016D">
        <w:tc>
          <w:tcPr>
            <w:tcW w:w="9639" w:type="dxa"/>
          </w:tcPr>
          <w:p w14:paraId="0268D5AA" w14:textId="2485CB8E" w:rsidR="0074322D" w:rsidRPr="00AB016D" w:rsidRDefault="00E50359" w:rsidP="00AB016D">
            <w:pPr>
              <w:jc w:val="both"/>
              <w:rPr>
                <w:rFonts w:cstheme="minorHAnsi"/>
                <w:sz w:val="22"/>
                <w:szCs w:val="22"/>
                <w:lang w:val="ka-GE"/>
              </w:rPr>
            </w:pPr>
            <w:r>
              <w:rPr>
                <w:rFonts w:cstheme="minorHAnsi"/>
                <w:sz w:val="22"/>
                <w:szCs w:val="22"/>
              </w:rPr>
              <w:t>4</w:t>
            </w:r>
            <w:r w:rsidR="0074322D" w:rsidRPr="00AB016D">
              <w:rPr>
                <w:rFonts w:cstheme="minorHAnsi"/>
                <w:sz w:val="22"/>
                <w:szCs w:val="22"/>
                <w:lang w:val="ka-GE"/>
              </w:rPr>
              <w:t>. კომერციული ბანკი ვალდებულია წერილობით შეატყობინოს  ეროვნულ ბანკს და პროგრამის კრედიტორებს:</w:t>
            </w:r>
          </w:p>
        </w:tc>
      </w:tr>
      <w:tr w:rsidR="0074322D" w:rsidRPr="005C26E6" w14:paraId="5038AD04" w14:textId="0AD9979A" w:rsidTr="00AB016D">
        <w:tc>
          <w:tcPr>
            <w:tcW w:w="9639" w:type="dxa"/>
          </w:tcPr>
          <w:p w14:paraId="5899B54E" w14:textId="56707241" w:rsidR="0074322D" w:rsidRPr="00AB016D" w:rsidRDefault="0074322D" w:rsidP="00AB016D">
            <w:pPr>
              <w:jc w:val="both"/>
              <w:rPr>
                <w:rFonts w:cstheme="minorHAnsi"/>
                <w:sz w:val="22"/>
                <w:szCs w:val="22"/>
                <w:lang w:val="ka-GE"/>
              </w:rPr>
            </w:pPr>
            <w:r w:rsidRPr="00AB016D">
              <w:rPr>
                <w:rFonts w:cstheme="minorHAnsi"/>
                <w:sz w:val="22"/>
                <w:szCs w:val="22"/>
                <w:lang w:val="ka-GE"/>
              </w:rPr>
              <w:t>ა) იპოთეკური ობლიგაციების საემისიო პირობებში განსახორციელებელი ნებისმიერი არსებითი ცვლილების შესახებ, სულ მცირე 3 თვით ადრე ასეთი ცვლილების განხორციელებამდე. შეტყობინება უნდა შეიცავდეს შეთავაზებული ცვლილების დასაბუთებასა და აღწერას;</w:t>
            </w:r>
          </w:p>
        </w:tc>
      </w:tr>
      <w:tr w:rsidR="0074322D" w:rsidRPr="005C26E6" w14:paraId="589E4461" w14:textId="1BCD5150" w:rsidTr="00AB016D">
        <w:tc>
          <w:tcPr>
            <w:tcW w:w="9639" w:type="dxa"/>
          </w:tcPr>
          <w:p w14:paraId="2EB52867" w14:textId="1B1DE23F" w:rsidR="0074322D" w:rsidRPr="00AB016D" w:rsidRDefault="0074322D" w:rsidP="00AB016D">
            <w:pPr>
              <w:jc w:val="both"/>
              <w:rPr>
                <w:rFonts w:cstheme="minorHAnsi"/>
                <w:sz w:val="22"/>
                <w:szCs w:val="22"/>
                <w:lang w:val="ka-GE"/>
              </w:rPr>
            </w:pPr>
            <w:r w:rsidRPr="00AB016D">
              <w:rPr>
                <w:rFonts w:cstheme="minorHAnsi"/>
                <w:sz w:val="22"/>
                <w:szCs w:val="22"/>
                <w:lang w:val="ka-GE"/>
              </w:rPr>
              <w:t>ბ) იპოთეკური ობლიგაციების პროგრამის გაუქმების შესახებ, გაუქმებამდე სულ მცირე 1 თვით ადრე, თუ კომერციულ ბანკს აღარ დარჩა პროგრამის კრედიტორების წინაშე შესასრულებელი ვალდებულება;</w:t>
            </w:r>
          </w:p>
        </w:tc>
      </w:tr>
      <w:tr w:rsidR="0074322D" w:rsidRPr="005C26E6" w14:paraId="2D09AD7E" w14:textId="76DBD60D" w:rsidTr="00AB016D">
        <w:tc>
          <w:tcPr>
            <w:tcW w:w="9639" w:type="dxa"/>
          </w:tcPr>
          <w:p w14:paraId="6AAF9A5F" w14:textId="1BF3D1F5" w:rsidR="0074322D" w:rsidRPr="00AB016D" w:rsidRDefault="0074322D" w:rsidP="00AB016D">
            <w:pPr>
              <w:jc w:val="both"/>
              <w:rPr>
                <w:rFonts w:cstheme="minorHAnsi"/>
                <w:sz w:val="22"/>
                <w:szCs w:val="22"/>
                <w:lang w:val="ka-GE"/>
              </w:rPr>
            </w:pPr>
            <w:r w:rsidRPr="00AB016D">
              <w:rPr>
                <w:rFonts w:cstheme="minorHAnsi"/>
                <w:sz w:val="22"/>
                <w:szCs w:val="22"/>
                <w:lang w:val="ka-GE"/>
              </w:rPr>
              <w:t>გ) ნებისმიერი არსებითი მოვლენის ან ინფორმაციის შესახებ, რომელმაც შესაძლოა გავლენა იქ</w:t>
            </w:r>
            <w:r w:rsidR="00DA1E5B">
              <w:rPr>
                <w:rFonts w:cstheme="minorHAnsi"/>
                <w:sz w:val="22"/>
                <w:szCs w:val="22"/>
                <w:lang w:val="ka-GE"/>
              </w:rPr>
              <w:t>ო</w:t>
            </w:r>
            <w:r w:rsidRPr="00AB016D">
              <w:rPr>
                <w:rFonts w:cstheme="minorHAnsi"/>
                <w:sz w:val="22"/>
                <w:szCs w:val="22"/>
                <w:lang w:val="ka-GE"/>
              </w:rPr>
              <w:t>ნიოს კომერციული ბანკის მიერ კანონით ან ამ წესით დადგენილი მოთხოვნების შესრულებაზე.</w:t>
            </w:r>
          </w:p>
        </w:tc>
      </w:tr>
      <w:tr w:rsidR="0074322D" w:rsidRPr="005C26E6" w14:paraId="3B978C8F" w14:textId="6DC20CD8" w:rsidTr="00AB016D">
        <w:tc>
          <w:tcPr>
            <w:tcW w:w="9639" w:type="dxa"/>
          </w:tcPr>
          <w:p w14:paraId="22C99C07" w14:textId="3DDE264E" w:rsidR="0074322D" w:rsidRDefault="00E50359" w:rsidP="00AB016D">
            <w:pPr>
              <w:jc w:val="both"/>
              <w:rPr>
                <w:rFonts w:cstheme="minorHAnsi"/>
                <w:sz w:val="22"/>
                <w:szCs w:val="22"/>
                <w:lang w:val="ka-GE"/>
              </w:rPr>
            </w:pPr>
            <w:r>
              <w:rPr>
                <w:rFonts w:cstheme="minorHAnsi"/>
                <w:sz w:val="22"/>
                <w:szCs w:val="22"/>
              </w:rPr>
              <w:t>5</w:t>
            </w:r>
            <w:r w:rsidR="0074322D" w:rsidRPr="00AB016D">
              <w:rPr>
                <w:rFonts w:cstheme="minorHAnsi"/>
                <w:sz w:val="22"/>
                <w:szCs w:val="22"/>
                <w:lang w:val="ka-GE"/>
              </w:rPr>
              <w:t xml:space="preserve">. უზრუნველყოფის აქტივების ზედამხედველი ვალდებულია წერილობით შეატყობინოს ეროვნულ ბანკს, თუ მას აქვს საფუძვლიანი ეჭვი, რომ </w:t>
            </w:r>
            <w:r w:rsidR="00857038">
              <w:rPr>
                <w:rFonts w:cstheme="minorHAnsi"/>
                <w:sz w:val="22"/>
                <w:szCs w:val="22"/>
                <w:lang w:val="ka-GE"/>
              </w:rPr>
              <w:t>ემიტენტი</w:t>
            </w:r>
            <w:r w:rsidR="00477158">
              <w:rPr>
                <w:rFonts w:cstheme="minorHAnsi"/>
                <w:sz w:val="22"/>
                <w:szCs w:val="22"/>
                <w:lang w:val="ka-GE"/>
              </w:rPr>
              <w:t>/</w:t>
            </w:r>
            <w:r w:rsidR="00857038">
              <w:rPr>
                <w:rFonts w:cstheme="minorHAnsi"/>
                <w:sz w:val="22"/>
                <w:szCs w:val="22"/>
                <w:lang w:val="ka-GE"/>
              </w:rPr>
              <w:t>რეფინანსირების ბანკის მოვალე</w:t>
            </w:r>
            <w:r w:rsidR="0074322D" w:rsidRPr="00AB016D">
              <w:rPr>
                <w:rFonts w:cstheme="minorHAnsi"/>
                <w:sz w:val="22"/>
                <w:szCs w:val="22"/>
                <w:lang w:val="ka-GE"/>
              </w:rPr>
              <w:t xml:space="preserve"> არ აკმაყოფილებს კანონით ან ამ წესით დადგენილ მოთხოვნებს ან </w:t>
            </w:r>
            <w:r w:rsidR="00857038">
              <w:rPr>
                <w:rFonts w:cstheme="minorHAnsi"/>
                <w:sz w:val="22"/>
                <w:szCs w:val="22"/>
                <w:lang w:val="ka-GE"/>
              </w:rPr>
              <w:t>ემიტენტმა</w:t>
            </w:r>
            <w:r w:rsidR="00477158">
              <w:rPr>
                <w:rFonts w:cstheme="minorHAnsi"/>
                <w:sz w:val="22"/>
                <w:szCs w:val="22"/>
                <w:lang w:val="ka-GE"/>
              </w:rPr>
              <w:t>/</w:t>
            </w:r>
            <w:r w:rsidR="00857038">
              <w:rPr>
                <w:rFonts w:cstheme="minorHAnsi"/>
                <w:sz w:val="22"/>
                <w:szCs w:val="22"/>
                <w:lang w:val="ka-GE"/>
              </w:rPr>
              <w:t>რეფინანსირების ბანკის მოვალემ</w:t>
            </w:r>
            <w:r w:rsidR="0074322D" w:rsidRPr="00AB016D">
              <w:rPr>
                <w:rFonts w:cstheme="minorHAnsi"/>
                <w:sz w:val="22"/>
                <w:szCs w:val="22"/>
                <w:lang w:val="ka-GE"/>
              </w:rPr>
              <w:t xml:space="preserve"> მას დროულად არ წარუდგინა ყველა საჭირო ინფორმაცია ან განმარტება.</w:t>
            </w:r>
          </w:p>
          <w:p w14:paraId="4873AE9C" w14:textId="6FCB494D" w:rsidR="00CB27A8" w:rsidRPr="00AB016D" w:rsidRDefault="00E50359" w:rsidP="00E60F01">
            <w:pPr>
              <w:tabs>
                <w:tab w:val="center" w:pos="4711"/>
              </w:tabs>
              <w:jc w:val="both"/>
              <w:rPr>
                <w:rFonts w:cstheme="minorHAnsi"/>
                <w:sz w:val="22"/>
                <w:szCs w:val="22"/>
                <w:lang w:val="ka-GE"/>
              </w:rPr>
            </w:pPr>
            <w:r>
              <w:rPr>
                <w:rFonts w:cstheme="minorHAnsi"/>
                <w:sz w:val="22"/>
                <w:szCs w:val="22"/>
                <w:lang w:val="ka-GE"/>
              </w:rPr>
              <w:t>6</w:t>
            </w:r>
            <w:r w:rsidR="00CB27A8">
              <w:rPr>
                <w:rFonts w:cstheme="minorHAnsi"/>
                <w:sz w:val="22"/>
                <w:szCs w:val="22"/>
                <w:lang w:val="ka-GE"/>
              </w:rPr>
              <w:t xml:space="preserve">. ეროვნული ბანკი უფლებამოსილია, </w:t>
            </w:r>
            <w:r w:rsidR="008A09A3">
              <w:rPr>
                <w:rFonts w:cstheme="minorHAnsi"/>
                <w:sz w:val="22"/>
                <w:szCs w:val="22"/>
                <w:lang w:val="ka-GE"/>
              </w:rPr>
              <w:t>კანონის ან ამ წესის მოთხოვნათა დარღვევის თაობაზე საფუძვლიანი ეჭვის არსებობისას, მოსთხოვოს ემიტენტს</w:t>
            </w:r>
            <w:r w:rsidR="00477158">
              <w:rPr>
                <w:rFonts w:cstheme="minorHAnsi"/>
                <w:sz w:val="22"/>
                <w:szCs w:val="22"/>
                <w:lang w:val="ka-GE"/>
              </w:rPr>
              <w:t>/</w:t>
            </w:r>
            <w:r w:rsidR="008A09A3">
              <w:rPr>
                <w:rFonts w:cstheme="minorHAnsi"/>
                <w:sz w:val="22"/>
                <w:szCs w:val="22"/>
                <w:lang w:val="ka-GE"/>
              </w:rPr>
              <w:t>რეფინანსირების ბანკის მოვალეს</w:t>
            </w:r>
            <w:r w:rsidR="00581F8A">
              <w:rPr>
                <w:rFonts w:cstheme="minorHAnsi"/>
                <w:sz w:val="22"/>
                <w:szCs w:val="22"/>
                <w:lang w:val="ka-GE"/>
              </w:rPr>
              <w:t xml:space="preserve"> უზრუნველყოფის აქტივების ზედამხედველის მიმდინარე (სპეციალური) ანგარიშის წარმოდგენა უზრუნველყოფის აქტივების მდგომარეობასთან დაკავშირებით.</w:t>
            </w:r>
          </w:p>
        </w:tc>
      </w:tr>
      <w:tr w:rsidR="0074322D" w:rsidRPr="005C26E6" w14:paraId="2BFADFA5" w14:textId="18FE5F21" w:rsidTr="00AB016D">
        <w:tc>
          <w:tcPr>
            <w:tcW w:w="9639" w:type="dxa"/>
          </w:tcPr>
          <w:p w14:paraId="71944143" w14:textId="7ACFD614" w:rsidR="0074322D" w:rsidRPr="00AB016D" w:rsidRDefault="00E50359" w:rsidP="00AB016D">
            <w:pPr>
              <w:tabs>
                <w:tab w:val="left" w:pos="6610"/>
              </w:tabs>
              <w:jc w:val="both"/>
              <w:rPr>
                <w:rFonts w:cstheme="minorHAnsi"/>
                <w:sz w:val="22"/>
                <w:szCs w:val="22"/>
                <w:lang w:val="ka-GE"/>
              </w:rPr>
            </w:pPr>
            <w:r>
              <w:rPr>
                <w:rFonts w:cstheme="minorHAnsi"/>
                <w:sz w:val="22"/>
                <w:szCs w:val="22"/>
                <w:lang w:val="ka-GE"/>
              </w:rPr>
              <w:lastRenderedPageBreak/>
              <w:t>7</w:t>
            </w:r>
            <w:r w:rsidR="0074322D" w:rsidRPr="00AB016D">
              <w:rPr>
                <w:rFonts w:cstheme="minorHAnsi"/>
                <w:sz w:val="22"/>
                <w:szCs w:val="22"/>
                <w:lang w:val="ka-GE"/>
              </w:rPr>
              <w:t>. იპოთეკური ობლიგაციების საჯაროდ შეთავაზების შემთხვევაში, კომერციული ბანკი ვალდებულია საკუთარ ვებ-გვერდზე გამოაქვეყნოს ამ მუხლის პირველი</w:t>
            </w:r>
            <w:r>
              <w:rPr>
                <w:rFonts w:cstheme="minorHAnsi"/>
                <w:sz w:val="22"/>
                <w:szCs w:val="22"/>
              </w:rPr>
              <w:t>-</w:t>
            </w:r>
            <w:r w:rsidR="000F140F">
              <w:rPr>
                <w:rFonts w:cstheme="minorHAnsi"/>
                <w:sz w:val="22"/>
                <w:szCs w:val="22"/>
                <w:lang w:val="ka-GE"/>
              </w:rPr>
              <w:t>მე-</w:t>
            </w:r>
            <w:r>
              <w:rPr>
                <w:rFonts w:cstheme="minorHAnsi"/>
                <w:sz w:val="22"/>
                <w:szCs w:val="22"/>
              </w:rPr>
              <w:t>4</w:t>
            </w:r>
            <w:r w:rsidR="0074322D" w:rsidRPr="00AB016D">
              <w:rPr>
                <w:rFonts w:cstheme="minorHAnsi"/>
                <w:sz w:val="22"/>
                <w:szCs w:val="22"/>
                <w:lang w:val="ka-GE"/>
              </w:rPr>
              <w:t xml:space="preserve"> პუნქტებით გათვალისწინებული ყველა შეტყობინება და ანგარიში, რომლებსაც იგი წარუდგენს ეროვნულ ბანკს, აგრეთვე ინფორმაცია იმის თაობაზე, თუ სად არის ხელმისაწვდომი ემისიის პროსპექტი და სხვა რელევანტური დოკუმენტები.</w:t>
            </w:r>
          </w:p>
        </w:tc>
      </w:tr>
      <w:tr w:rsidR="0074322D" w:rsidRPr="005C26E6" w14:paraId="28EF22F9" w14:textId="5F98A418" w:rsidTr="00AB016D">
        <w:tc>
          <w:tcPr>
            <w:tcW w:w="9639" w:type="dxa"/>
          </w:tcPr>
          <w:p w14:paraId="7DDC1730" w14:textId="1254A9EA" w:rsidR="0074322D" w:rsidRPr="00AB016D" w:rsidRDefault="00E50359" w:rsidP="00AB016D">
            <w:pPr>
              <w:tabs>
                <w:tab w:val="left" w:pos="6610"/>
              </w:tabs>
              <w:jc w:val="both"/>
              <w:rPr>
                <w:rFonts w:cstheme="minorHAnsi"/>
                <w:sz w:val="22"/>
                <w:szCs w:val="22"/>
              </w:rPr>
            </w:pPr>
            <w:r>
              <w:rPr>
                <w:rFonts w:cstheme="minorHAnsi"/>
                <w:sz w:val="22"/>
                <w:szCs w:val="22"/>
                <w:lang w:val="ka-GE"/>
              </w:rPr>
              <w:t>8</w:t>
            </w:r>
            <w:r w:rsidR="0074322D" w:rsidRPr="00AB016D">
              <w:rPr>
                <w:rFonts w:cstheme="minorHAnsi"/>
                <w:sz w:val="22"/>
                <w:szCs w:val="22"/>
                <w:lang w:val="ka-GE"/>
              </w:rPr>
              <w:t xml:space="preserve">. თუ საქართველოს კანონმდებლობით ან ემისიის პირობებით სხვა რამ არ არის გათვალისწინებული, კომერციული ბანკი არ არის ვალდებული ამ მუხლით გათვალისწინებული შეტყობინება ან ანგარიში ინდივიდუალურად მიაწოდოს თითოეულ პროგრამის კრედიტორს, თუ იგი აღნიშნულ ინფორმაციას თავის ვებგვერდზე აქვეყნებს. </w:t>
            </w:r>
          </w:p>
        </w:tc>
      </w:tr>
      <w:tr w:rsidR="0074322D" w:rsidRPr="005C26E6" w14:paraId="757F26D7" w14:textId="77777777" w:rsidTr="00AB016D">
        <w:tc>
          <w:tcPr>
            <w:tcW w:w="9639" w:type="dxa"/>
          </w:tcPr>
          <w:p w14:paraId="32B56F64" w14:textId="77777777" w:rsidR="0074322D" w:rsidRPr="00AB016D" w:rsidRDefault="0074322D" w:rsidP="00AB016D">
            <w:pPr>
              <w:jc w:val="both"/>
              <w:rPr>
                <w:rFonts w:cstheme="minorHAnsi"/>
                <w:sz w:val="22"/>
                <w:szCs w:val="22"/>
                <w:lang w:val="ka-GE"/>
              </w:rPr>
            </w:pPr>
          </w:p>
        </w:tc>
      </w:tr>
      <w:tr w:rsidR="0074322D" w:rsidRPr="005C26E6" w14:paraId="7755E3BC" w14:textId="7F7290E8" w:rsidTr="00AB016D">
        <w:tc>
          <w:tcPr>
            <w:tcW w:w="9639" w:type="dxa"/>
          </w:tcPr>
          <w:p w14:paraId="692E19E0" w14:textId="77777777" w:rsidR="0074322D" w:rsidRPr="00AB016D" w:rsidRDefault="0074322D" w:rsidP="00AB016D">
            <w:pPr>
              <w:tabs>
                <w:tab w:val="left" w:pos="6610"/>
              </w:tabs>
              <w:jc w:val="both"/>
              <w:rPr>
                <w:sz w:val="22"/>
                <w:szCs w:val="22"/>
              </w:rPr>
            </w:pPr>
          </w:p>
        </w:tc>
      </w:tr>
      <w:tr w:rsidR="0074322D" w:rsidRPr="005C26E6" w14:paraId="0B085541" w14:textId="28A3A17C" w:rsidTr="00AB016D">
        <w:tc>
          <w:tcPr>
            <w:tcW w:w="9639" w:type="dxa"/>
          </w:tcPr>
          <w:p w14:paraId="2876D63C" w14:textId="3E992610" w:rsidR="0074322D" w:rsidRPr="00AB016D" w:rsidRDefault="0074322D" w:rsidP="00AB016D">
            <w:pPr>
              <w:pStyle w:val="Heading3"/>
              <w:jc w:val="both"/>
              <w:outlineLvl w:val="2"/>
              <w:rPr>
                <w:rFonts w:ascii="Sylfaen" w:hAnsi="Sylfaen" w:cstheme="minorHAnsi"/>
                <w:b/>
                <w:color w:val="5B9BD5" w:themeColor="accent1"/>
                <w:sz w:val="22"/>
                <w:szCs w:val="22"/>
                <w:lang w:val="ka-GE"/>
              </w:rPr>
            </w:pPr>
            <w:r w:rsidRPr="007D758F">
              <w:rPr>
                <w:rFonts w:ascii="Sylfaen" w:hAnsi="Sylfaen" w:cstheme="minorHAnsi"/>
                <w:b/>
                <w:color w:val="000000" w:themeColor="text1"/>
                <w:sz w:val="22"/>
                <w:szCs w:val="22"/>
                <w:lang w:val="ka-GE"/>
              </w:rPr>
              <w:t xml:space="preserve">მუხლი </w:t>
            </w:r>
            <w:r w:rsidR="000F140F" w:rsidRPr="007D758F">
              <w:rPr>
                <w:rFonts w:ascii="Sylfaen" w:hAnsi="Sylfaen" w:cstheme="minorHAnsi"/>
                <w:b/>
                <w:color w:val="000000" w:themeColor="text1"/>
                <w:sz w:val="22"/>
                <w:szCs w:val="22"/>
                <w:lang w:val="ka-GE"/>
              </w:rPr>
              <w:t>4</w:t>
            </w:r>
            <w:r w:rsidRPr="007D758F">
              <w:rPr>
                <w:rFonts w:ascii="Sylfaen" w:hAnsi="Sylfaen" w:cstheme="minorHAnsi"/>
                <w:b/>
                <w:color w:val="000000" w:themeColor="text1"/>
                <w:sz w:val="22"/>
                <w:szCs w:val="22"/>
                <w:lang w:val="ka-GE"/>
              </w:rPr>
              <w:t>. უზრუნველყოფის აქტივების შესაბამისობა; პროგრამის ვალდებულებათა უზრუნველყოფა</w:t>
            </w:r>
          </w:p>
        </w:tc>
      </w:tr>
      <w:tr w:rsidR="0074322D" w:rsidRPr="005C26E6" w14:paraId="02D027F4" w14:textId="72057A82" w:rsidTr="00AB016D">
        <w:tc>
          <w:tcPr>
            <w:tcW w:w="9639" w:type="dxa"/>
          </w:tcPr>
          <w:p w14:paraId="5739CEB4" w14:textId="582DE58D" w:rsidR="0074322D" w:rsidRPr="00AB016D" w:rsidRDefault="0074322D" w:rsidP="00AB016D">
            <w:pPr>
              <w:jc w:val="both"/>
              <w:rPr>
                <w:rFonts w:cstheme="minorHAnsi"/>
                <w:sz w:val="22"/>
                <w:szCs w:val="22"/>
                <w:lang w:val="ka-GE"/>
              </w:rPr>
            </w:pPr>
            <w:r w:rsidRPr="00AB016D">
              <w:rPr>
                <w:rFonts w:cstheme="minorHAnsi"/>
                <w:sz w:val="22"/>
                <w:szCs w:val="22"/>
                <w:lang w:val="ka-GE"/>
              </w:rPr>
              <w:t>1.</w:t>
            </w:r>
            <w:r w:rsidRPr="00AB016D">
              <w:rPr>
                <w:rFonts w:cstheme="minorHAnsi"/>
                <w:sz w:val="22"/>
                <w:szCs w:val="22"/>
              </w:rPr>
              <w:t xml:space="preserve"> </w:t>
            </w:r>
            <w:r w:rsidRPr="00AB016D">
              <w:rPr>
                <w:rFonts w:cstheme="minorHAnsi"/>
                <w:sz w:val="22"/>
                <w:szCs w:val="22"/>
                <w:lang w:val="ka-GE"/>
              </w:rPr>
              <w:t>კანონის მე-3 და მე-5 მუხლებით გათვალისწინებულ მოთხოვნებთან ერთად, უზრუნველყოფის აქტივების გაერთიანებაში შესატანი აქტივები დამატებით უნდა აკმაყოფილებდეს შემდეგ მოთხოვნებს:</w:t>
            </w:r>
          </w:p>
        </w:tc>
      </w:tr>
      <w:tr w:rsidR="0074322D" w:rsidRPr="005C26E6" w14:paraId="46EF8795" w14:textId="5FBBA46F" w:rsidTr="00AB016D">
        <w:tc>
          <w:tcPr>
            <w:tcW w:w="9639" w:type="dxa"/>
          </w:tcPr>
          <w:p w14:paraId="3CA01662" w14:textId="1B543D95" w:rsidR="0074322D" w:rsidRPr="00AB016D" w:rsidRDefault="0074322D" w:rsidP="007F6BC5">
            <w:pPr>
              <w:jc w:val="both"/>
              <w:rPr>
                <w:rFonts w:cstheme="minorHAnsi"/>
                <w:sz w:val="22"/>
                <w:szCs w:val="22"/>
                <w:lang w:val="ka-GE"/>
              </w:rPr>
            </w:pPr>
            <w:r w:rsidRPr="00AB016D">
              <w:rPr>
                <w:rFonts w:cstheme="minorHAnsi"/>
                <w:sz w:val="22"/>
                <w:szCs w:val="22"/>
                <w:lang w:val="ka-GE"/>
              </w:rPr>
              <w:t xml:space="preserve">ა) იპოთეკური </w:t>
            </w:r>
            <w:r w:rsidR="007F6BC5">
              <w:rPr>
                <w:rFonts w:cstheme="minorHAnsi"/>
                <w:sz w:val="22"/>
                <w:szCs w:val="22"/>
                <w:lang w:val="ka-GE"/>
              </w:rPr>
              <w:t>სესხი</w:t>
            </w:r>
            <w:r w:rsidRPr="00AB016D">
              <w:rPr>
                <w:rFonts w:cstheme="minorHAnsi"/>
                <w:sz w:val="22"/>
                <w:szCs w:val="22"/>
                <w:lang w:val="ka-GE"/>
              </w:rPr>
              <w:t xml:space="preserve"> უნდა კლასიფიცირდებოდეს</w:t>
            </w:r>
            <w:r w:rsidR="00E50359">
              <w:rPr>
                <w:rFonts w:cstheme="minorHAnsi"/>
                <w:sz w:val="22"/>
                <w:szCs w:val="22"/>
                <w:lang w:val="ka-GE"/>
              </w:rPr>
              <w:t>,</w:t>
            </w:r>
            <w:r w:rsidRPr="00AB016D">
              <w:rPr>
                <w:rFonts w:cstheme="minorHAnsi"/>
                <w:sz w:val="22"/>
                <w:szCs w:val="22"/>
                <w:lang w:val="ka-GE"/>
              </w:rPr>
              <w:t xml:space="preserve"> როგორც </w:t>
            </w:r>
            <w:r w:rsidR="00D84840" w:rsidRPr="00D84840">
              <w:rPr>
                <w:rFonts w:cstheme="minorHAnsi"/>
                <w:sz w:val="22"/>
                <w:szCs w:val="22"/>
                <w:lang w:val="ka-GE"/>
              </w:rPr>
              <w:t xml:space="preserve">პირველი დონის საკრედიტო რისკის ფინანსური </w:t>
            </w:r>
            <w:r w:rsidR="00D84840">
              <w:rPr>
                <w:rFonts w:cstheme="minorHAnsi"/>
                <w:sz w:val="22"/>
                <w:szCs w:val="22"/>
                <w:lang w:val="ka-GE"/>
              </w:rPr>
              <w:t>ინსტრუმენტი</w:t>
            </w:r>
            <w:r w:rsidRPr="00AB016D">
              <w:rPr>
                <w:rFonts w:cstheme="minorHAnsi"/>
                <w:sz w:val="22"/>
                <w:szCs w:val="22"/>
                <w:lang w:val="ka-GE"/>
              </w:rPr>
              <w:t xml:space="preserve"> </w:t>
            </w:r>
            <w:r w:rsidR="00013048">
              <w:rPr>
                <w:rFonts w:cstheme="minorHAnsi"/>
                <w:sz w:val="22"/>
                <w:szCs w:val="22"/>
                <w:lang w:val="ka-GE"/>
              </w:rPr>
              <w:t>„</w:t>
            </w:r>
            <w:r w:rsidR="00013048" w:rsidRPr="00013048">
              <w:rPr>
                <w:rFonts w:cstheme="minorHAnsi"/>
                <w:sz w:val="22"/>
                <w:szCs w:val="22"/>
                <w:lang w:val="ka-GE"/>
              </w:rPr>
              <w:t>ფინანსური ინსტრუმენტების რისკის კატეგორიებისა და მოსალოდნელი საკრედიტო ზარალის განსაზღვრის წესის დამტკიცების თაობაზე</w:t>
            </w:r>
            <w:r w:rsidR="00013048">
              <w:rPr>
                <w:rFonts w:cstheme="minorHAnsi"/>
                <w:sz w:val="22"/>
                <w:szCs w:val="22"/>
                <w:lang w:val="ka-GE"/>
              </w:rPr>
              <w:t xml:space="preserve">“ საქართველოს </w:t>
            </w:r>
            <w:r w:rsidRPr="00AB016D">
              <w:rPr>
                <w:rFonts w:cstheme="minorHAnsi"/>
                <w:sz w:val="22"/>
                <w:szCs w:val="22"/>
                <w:lang w:val="ka-GE"/>
              </w:rPr>
              <w:t xml:space="preserve">ეროვნული ბანკის </w:t>
            </w:r>
            <w:r w:rsidR="00013048">
              <w:rPr>
                <w:rFonts w:cstheme="minorHAnsi"/>
                <w:sz w:val="22"/>
                <w:szCs w:val="22"/>
                <w:lang w:val="ka-GE"/>
              </w:rPr>
              <w:t xml:space="preserve">პრეზიდენტის 2022 წლის 29 დეკემბრის </w:t>
            </w:r>
            <w:r w:rsidR="00013048" w:rsidRPr="00013048">
              <w:rPr>
                <w:rFonts w:cstheme="minorHAnsi"/>
                <w:sz w:val="22"/>
                <w:szCs w:val="22"/>
                <w:lang w:val="ka-GE"/>
              </w:rPr>
              <w:t>№192/04</w:t>
            </w:r>
            <w:r w:rsidR="00013048">
              <w:rPr>
                <w:rFonts w:cstheme="minorHAnsi"/>
                <w:sz w:val="22"/>
                <w:szCs w:val="22"/>
                <w:lang w:val="ka-GE"/>
              </w:rPr>
              <w:t xml:space="preserve"> ბრძანებით დამტკიცებული წესის</w:t>
            </w:r>
            <w:r w:rsidRPr="00AB016D">
              <w:rPr>
                <w:rFonts w:cstheme="minorHAnsi"/>
                <w:sz w:val="22"/>
                <w:szCs w:val="22"/>
                <w:lang w:val="ka-GE"/>
              </w:rPr>
              <w:t xml:space="preserve"> შესაბამისად;</w:t>
            </w:r>
          </w:p>
        </w:tc>
      </w:tr>
      <w:tr w:rsidR="0074322D" w:rsidRPr="005C26E6" w14:paraId="70EA3D2F" w14:textId="64878232" w:rsidTr="00AB016D">
        <w:trPr>
          <w:trHeight w:val="917"/>
        </w:trPr>
        <w:tc>
          <w:tcPr>
            <w:tcW w:w="9639" w:type="dxa"/>
          </w:tcPr>
          <w:p w14:paraId="3D9A94C7" w14:textId="2EAD12E9" w:rsidR="0074322D" w:rsidRPr="00AB016D" w:rsidRDefault="0074322D" w:rsidP="007F6BC5">
            <w:pPr>
              <w:jc w:val="both"/>
              <w:rPr>
                <w:rFonts w:cstheme="minorHAnsi"/>
                <w:sz w:val="22"/>
                <w:szCs w:val="22"/>
                <w:lang w:val="ka-GE"/>
              </w:rPr>
            </w:pPr>
            <w:r w:rsidRPr="00AB016D">
              <w:rPr>
                <w:rFonts w:cstheme="minorHAnsi"/>
                <w:sz w:val="22"/>
                <w:szCs w:val="22"/>
                <w:lang w:val="ka-GE"/>
              </w:rPr>
              <w:t xml:space="preserve">ბ) დამატებითი </w:t>
            </w:r>
            <w:r w:rsidR="007F6BC5">
              <w:rPr>
                <w:rFonts w:cstheme="minorHAnsi"/>
                <w:sz w:val="22"/>
                <w:szCs w:val="22"/>
                <w:lang w:val="ka-GE"/>
              </w:rPr>
              <w:t>აქტივისა</w:t>
            </w:r>
            <w:r w:rsidRPr="00AB016D">
              <w:rPr>
                <w:rFonts w:cstheme="minorHAnsi"/>
                <w:sz w:val="22"/>
                <w:szCs w:val="22"/>
                <w:lang w:val="ka-GE"/>
              </w:rPr>
              <w:t xml:space="preserve"> და </w:t>
            </w:r>
            <w:r w:rsidR="007F6BC5">
              <w:rPr>
                <w:rFonts w:cstheme="minorHAnsi"/>
                <w:sz w:val="22"/>
                <w:szCs w:val="22"/>
                <w:lang w:val="ka-GE"/>
              </w:rPr>
              <w:t xml:space="preserve">დერივატივის </w:t>
            </w:r>
            <w:r w:rsidRPr="00AB016D">
              <w:rPr>
                <w:rFonts w:cstheme="minorHAnsi"/>
                <w:sz w:val="22"/>
                <w:szCs w:val="22"/>
                <w:lang w:val="ka-GE"/>
              </w:rPr>
              <w:t xml:space="preserve">შემთხვევაში, ხელმისაწვდომი უნდა იყოს კონტრაჰენტისათვის/ემიტენტისათვის ან შესაბამისი ინსტრუმენტისათვის რომელიმე საერთაშორისო სარეიტინგო სააგენტოს (Standard &amp; Poors, Moody’s, Fitch, Scope Ratings) მიერ მინიჭებული საკრედიტო რეიტინგი. </w:t>
            </w:r>
          </w:p>
        </w:tc>
      </w:tr>
      <w:tr w:rsidR="0074322D" w:rsidRPr="005C26E6" w14:paraId="6895F633" w14:textId="77777777" w:rsidTr="00AB016D">
        <w:tc>
          <w:tcPr>
            <w:tcW w:w="9639" w:type="dxa"/>
          </w:tcPr>
          <w:p w14:paraId="0EAB9C40" w14:textId="065D4ECE" w:rsidR="0074322D" w:rsidRPr="00AB016D" w:rsidDel="003B1882" w:rsidRDefault="0074322D" w:rsidP="007F6BC5">
            <w:pPr>
              <w:jc w:val="both"/>
              <w:rPr>
                <w:rFonts w:cstheme="minorHAnsi"/>
                <w:sz w:val="22"/>
                <w:szCs w:val="22"/>
                <w:lang w:val="ka-GE"/>
              </w:rPr>
            </w:pPr>
            <w:r w:rsidRPr="00AB016D">
              <w:rPr>
                <w:rFonts w:cstheme="minorHAnsi"/>
                <w:sz w:val="22"/>
                <w:szCs w:val="22"/>
                <w:lang w:val="ka-GE"/>
              </w:rPr>
              <w:t xml:space="preserve">2. ამ მუხლის მე-3 პუნქტის გათვალისწინებით, </w:t>
            </w:r>
            <w:r w:rsidRPr="00AB016D">
              <w:rPr>
                <w:rFonts w:cstheme="minorHAnsi"/>
                <w:sz w:val="22"/>
                <w:szCs w:val="22"/>
              </w:rPr>
              <w:t xml:space="preserve">უზრუნველყოფის აქტივების გაერთიანებაში შეტანის შემდეგ </w:t>
            </w:r>
            <w:r w:rsidR="007F6BC5">
              <w:rPr>
                <w:rFonts w:cstheme="minorHAnsi"/>
                <w:sz w:val="22"/>
                <w:szCs w:val="22"/>
              </w:rPr>
              <w:t xml:space="preserve">იპოთეკური სესხის </w:t>
            </w:r>
            <w:r w:rsidRPr="00AB016D">
              <w:rPr>
                <w:rFonts w:cstheme="minorHAnsi"/>
                <w:sz w:val="22"/>
                <w:szCs w:val="22"/>
              </w:rPr>
              <w:t>კლასიფიკაციის ცვლილება არ წარმოადგენს</w:t>
            </w:r>
            <w:r w:rsidRPr="00AB016D">
              <w:rPr>
                <w:rFonts w:cstheme="minorHAnsi"/>
                <w:sz w:val="22"/>
                <w:szCs w:val="22"/>
                <w:lang w:val="ka-GE"/>
              </w:rPr>
              <w:t xml:space="preserve"> კანონის მე-7 მუხლის პირველი </w:t>
            </w:r>
            <w:r w:rsidR="004C1746">
              <w:rPr>
                <w:rFonts w:cstheme="minorHAnsi"/>
                <w:sz w:val="22"/>
                <w:szCs w:val="22"/>
                <w:lang w:val="ka-GE"/>
              </w:rPr>
              <w:t xml:space="preserve">პუნქტით </w:t>
            </w:r>
            <w:r w:rsidRPr="00AB016D">
              <w:rPr>
                <w:rFonts w:cstheme="minorHAnsi"/>
                <w:sz w:val="22"/>
                <w:szCs w:val="22"/>
                <w:lang w:val="ka-GE"/>
              </w:rPr>
              <w:t xml:space="preserve">დადგენილი გაანგარიშებიდან </w:t>
            </w:r>
            <w:r w:rsidR="007F6BC5">
              <w:rPr>
                <w:rFonts w:cstheme="minorHAnsi"/>
                <w:sz w:val="22"/>
                <w:szCs w:val="22"/>
                <w:lang w:val="ka-GE"/>
              </w:rPr>
              <w:t xml:space="preserve">მისი </w:t>
            </w:r>
            <w:r w:rsidRPr="00AB016D">
              <w:rPr>
                <w:rFonts w:cstheme="minorHAnsi"/>
                <w:sz w:val="22"/>
                <w:szCs w:val="22"/>
                <w:lang w:val="ka-GE"/>
              </w:rPr>
              <w:t>გამორიცხვის საფუძველს.</w:t>
            </w:r>
          </w:p>
        </w:tc>
      </w:tr>
      <w:tr w:rsidR="0074322D" w:rsidRPr="005C26E6" w14:paraId="794A294B" w14:textId="291D7546" w:rsidTr="00AB016D">
        <w:tc>
          <w:tcPr>
            <w:tcW w:w="9639" w:type="dxa"/>
          </w:tcPr>
          <w:p w14:paraId="6A28C8E8" w14:textId="21750E73" w:rsidR="0074322D" w:rsidRPr="00AB016D" w:rsidRDefault="0074322D" w:rsidP="001E1353">
            <w:pPr>
              <w:jc w:val="both"/>
              <w:rPr>
                <w:rFonts w:cstheme="minorHAnsi"/>
                <w:sz w:val="22"/>
                <w:szCs w:val="22"/>
                <w:lang w:val="ka-GE"/>
              </w:rPr>
            </w:pPr>
            <w:r w:rsidRPr="00AB016D">
              <w:rPr>
                <w:rFonts w:cstheme="minorHAnsi"/>
                <w:sz w:val="22"/>
                <w:szCs w:val="22"/>
                <w:lang w:val="ka-GE"/>
              </w:rPr>
              <w:t>3. ნარჩენი ძირითადი თანხები აქტივებისა, რომლებიც უზრუნველყოფის აქტივების გაერთიანებაში შეტანის შემდეგ დეფოლტში აღმოჩნდა ან/და აღარ აკმაყოფილებს ამ მუხლის მე-2 პუნქტის „ა“ ქვეპუნქტით გათვალისწინებულ მოთხოვნას, კანონის მე-7 მუხლის პირველი პ</w:t>
            </w:r>
            <w:r w:rsidR="007F6BC5">
              <w:rPr>
                <w:rFonts w:cstheme="minorHAnsi"/>
                <w:sz w:val="22"/>
                <w:szCs w:val="22"/>
                <w:lang w:val="ka-GE"/>
              </w:rPr>
              <w:t xml:space="preserve">უნქტით </w:t>
            </w:r>
            <w:r w:rsidRPr="00AB016D">
              <w:rPr>
                <w:rFonts w:cstheme="minorHAnsi"/>
                <w:sz w:val="22"/>
                <w:szCs w:val="22"/>
                <w:lang w:val="ka-GE"/>
              </w:rPr>
              <w:t xml:space="preserve">დადგენილ გაანგარიშებაში შეიძლება გათვალისწინებული იქნეს იპოთეკური ობლიგაციების ნარჩენი ძირითადი თანხების ნომინალურ ღირებულებათა ჯამური ოდენობის არაუმეტეს </w:t>
            </w:r>
            <w:r w:rsidR="00840F37">
              <w:rPr>
                <w:rFonts w:cstheme="minorHAnsi"/>
                <w:sz w:val="22"/>
                <w:szCs w:val="22"/>
                <w:lang w:val="ka-GE"/>
              </w:rPr>
              <w:t>5</w:t>
            </w:r>
            <w:r w:rsidRPr="00AB016D">
              <w:rPr>
                <w:rFonts w:cstheme="minorHAnsi"/>
                <w:sz w:val="22"/>
                <w:szCs w:val="22"/>
                <w:lang w:val="ka-GE"/>
              </w:rPr>
              <w:t>%-ის ოდენობით. აღნიშნულის მიუხედავად, არაუზრუნველყოფილი მოთხოვნები</w:t>
            </w:r>
            <w:r w:rsidR="00E50359">
              <w:rPr>
                <w:rFonts w:cstheme="minorHAnsi"/>
                <w:sz w:val="22"/>
                <w:szCs w:val="22"/>
                <w:lang w:val="ka-GE"/>
              </w:rPr>
              <w:t>, რომლებიც დეფოლტშია,</w:t>
            </w:r>
            <w:r w:rsidR="00840F37">
              <w:rPr>
                <w:rFonts w:cstheme="minorHAnsi"/>
                <w:sz w:val="22"/>
                <w:szCs w:val="22"/>
                <w:lang w:val="ka-GE"/>
              </w:rPr>
              <w:t xml:space="preserve"> და </w:t>
            </w:r>
            <w:r w:rsidR="001E1353">
              <w:rPr>
                <w:rFonts w:cstheme="minorHAnsi"/>
                <w:sz w:val="22"/>
                <w:szCs w:val="22"/>
                <w:lang w:val="ka-GE"/>
              </w:rPr>
              <w:t xml:space="preserve">იპოთეკური სესხები, რომლებიც კლასიფიცირდება, როგორც </w:t>
            </w:r>
            <w:r w:rsidR="00840F37">
              <w:rPr>
                <w:rFonts w:cstheme="minorHAnsi"/>
                <w:sz w:val="22"/>
                <w:szCs w:val="22"/>
                <w:lang w:val="ka-GE"/>
              </w:rPr>
              <w:t>მესამე დონის საკრედიტო რისკის ფინანსურ</w:t>
            </w:r>
            <w:r w:rsidR="001E1353">
              <w:rPr>
                <w:rFonts w:cstheme="minorHAnsi"/>
                <w:sz w:val="22"/>
                <w:szCs w:val="22"/>
                <w:lang w:val="ka-GE"/>
              </w:rPr>
              <w:t>ი</w:t>
            </w:r>
            <w:r w:rsidR="00840F37">
              <w:rPr>
                <w:rFonts w:cstheme="minorHAnsi"/>
                <w:sz w:val="22"/>
                <w:szCs w:val="22"/>
                <w:lang w:val="ka-GE"/>
              </w:rPr>
              <w:t xml:space="preserve"> ინსტრუმენტებ</w:t>
            </w:r>
            <w:r w:rsidR="001E1353">
              <w:rPr>
                <w:rFonts w:cstheme="minorHAnsi"/>
                <w:sz w:val="22"/>
                <w:szCs w:val="22"/>
                <w:lang w:val="ka-GE"/>
              </w:rPr>
              <w:t xml:space="preserve">ი ან </w:t>
            </w:r>
            <w:r w:rsidR="001E1353" w:rsidRPr="001E1353">
              <w:rPr>
                <w:rFonts w:cstheme="minorHAnsi"/>
                <w:sz w:val="22"/>
                <w:szCs w:val="22"/>
                <w:lang w:val="ka-GE"/>
              </w:rPr>
              <w:t xml:space="preserve">შეძენილი ან გამოშვებული გაუფასურებული </w:t>
            </w:r>
            <w:r w:rsidR="001E1353">
              <w:rPr>
                <w:rFonts w:cstheme="minorHAnsi"/>
                <w:sz w:val="22"/>
                <w:szCs w:val="22"/>
                <w:lang w:val="ka-GE"/>
              </w:rPr>
              <w:t>ფინანსური ინსტრუმენტები</w:t>
            </w:r>
            <w:r w:rsidR="001E1353" w:rsidRPr="001E1353">
              <w:rPr>
                <w:rFonts w:cstheme="minorHAnsi"/>
                <w:sz w:val="22"/>
                <w:szCs w:val="22"/>
                <w:lang w:val="ka-GE"/>
              </w:rPr>
              <w:t xml:space="preserve"> (POCI)</w:t>
            </w:r>
            <w:r w:rsidR="001E1353">
              <w:rPr>
                <w:rFonts w:cstheme="minorHAnsi"/>
                <w:sz w:val="22"/>
                <w:szCs w:val="22"/>
                <w:lang w:val="ka-GE"/>
              </w:rPr>
              <w:t>, კ</w:t>
            </w:r>
            <w:r w:rsidRPr="00AB016D">
              <w:rPr>
                <w:rFonts w:cstheme="minorHAnsi"/>
                <w:sz w:val="22"/>
                <w:szCs w:val="22"/>
                <w:lang w:val="ka-GE"/>
              </w:rPr>
              <w:t xml:space="preserve">ანონის მე-7 მუხლის პირველი </w:t>
            </w:r>
            <w:r w:rsidR="007F6BC5">
              <w:rPr>
                <w:rFonts w:cstheme="minorHAnsi"/>
                <w:sz w:val="22"/>
                <w:szCs w:val="22"/>
                <w:lang w:val="ka-GE"/>
              </w:rPr>
              <w:t xml:space="preserve">პუნქტით </w:t>
            </w:r>
            <w:r w:rsidRPr="00AB016D">
              <w:rPr>
                <w:rFonts w:cstheme="minorHAnsi"/>
                <w:sz w:val="22"/>
                <w:szCs w:val="22"/>
                <w:lang w:val="ka-GE"/>
              </w:rPr>
              <w:t>დადგენილ გაანგარიშებაში არ გაითვალისწინება.</w:t>
            </w:r>
          </w:p>
        </w:tc>
      </w:tr>
      <w:tr w:rsidR="0074322D" w:rsidRPr="005C26E6" w14:paraId="38D3E25D" w14:textId="2AB22362" w:rsidTr="00AB016D">
        <w:tc>
          <w:tcPr>
            <w:tcW w:w="9639" w:type="dxa"/>
          </w:tcPr>
          <w:p w14:paraId="0F042B64" w14:textId="70672D8C" w:rsidR="0074322D" w:rsidRPr="00AB016D" w:rsidRDefault="000F140F" w:rsidP="00164939">
            <w:pPr>
              <w:jc w:val="both"/>
              <w:rPr>
                <w:rFonts w:cstheme="minorHAnsi"/>
                <w:sz w:val="22"/>
                <w:szCs w:val="22"/>
                <w:lang w:val="ka-GE"/>
              </w:rPr>
            </w:pPr>
            <w:r>
              <w:rPr>
                <w:rFonts w:cstheme="minorHAnsi"/>
                <w:sz w:val="22"/>
                <w:szCs w:val="22"/>
                <w:lang w:val="ka-GE"/>
              </w:rPr>
              <w:t>4</w:t>
            </w:r>
            <w:r w:rsidR="0074322D" w:rsidRPr="00AB016D">
              <w:rPr>
                <w:rFonts w:cstheme="minorHAnsi"/>
                <w:sz w:val="22"/>
                <w:szCs w:val="22"/>
                <w:lang w:val="ka-GE"/>
              </w:rPr>
              <w:t xml:space="preserve">. </w:t>
            </w:r>
            <w:r w:rsidR="00840F37">
              <w:rPr>
                <w:rFonts w:cstheme="minorHAnsi"/>
                <w:sz w:val="22"/>
                <w:szCs w:val="22"/>
                <w:lang w:val="ka-GE"/>
              </w:rPr>
              <w:t>ემიტენტი</w:t>
            </w:r>
            <w:r w:rsidR="0074322D" w:rsidRPr="00AB016D">
              <w:rPr>
                <w:rFonts w:cstheme="minorHAnsi"/>
                <w:sz w:val="22"/>
                <w:szCs w:val="22"/>
                <w:lang w:val="ka-GE"/>
              </w:rPr>
              <w:t xml:space="preserve"> ვალდებულია ყოველ სამუშაო დღეს შეამოწმოს, დაკმაყოფილებულია თუ არა კანონის მე-7 მუხლის პირველი პუნქტით </w:t>
            </w:r>
            <w:r w:rsidR="00E02052">
              <w:rPr>
                <w:rFonts w:cstheme="minorHAnsi"/>
                <w:sz w:val="22"/>
                <w:szCs w:val="22"/>
                <w:lang w:val="ka-GE"/>
              </w:rPr>
              <w:t>დადგენილი</w:t>
            </w:r>
            <w:r w:rsidR="0074322D" w:rsidRPr="00AB016D">
              <w:rPr>
                <w:rFonts w:cstheme="minorHAnsi"/>
                <w:sz w:val="22"/>
                <w:szCs w:val="22"/>
                <w:lang w:val="ka-GE"/>
              </w:rPr>
              <w:t xml:space="preserve"> მოთხოვნა </w:t>
            </w:r>
            <w:r w:rsidR="00175864">
              <w:rPr>
                <w:rFonts w:cstheme="minorHAnsi"/>
                <w:sz w:val="22"/>
                <w:szCs w:val="22"/>
                <w:lang w:val="ka-GE"/>
              </w:rPr>
              <w:t xml:space="preserve">(იმავე მუხლის მე-3-მე-5 პუნქტებით </w:t>
            </w:r>
            <w:r w:rsidR="00E02052">
              <w:rPr>
                <w:rFonts w:cstheme="minorHAnsi"/>
                <w:sz w:val="22"/>
                <w:szCs w:val="22"/>
                <w:lang w:val="ka-GE"/>
              </w:rPr>
              <w:t>განსაზღვრული</w:t>
            </w:r>
            <w:r w:rsidR="00175864">
              <w:rPr>
                <w:rFonts w:cstheme="minorHAnsi"/>
                <w:sz w:val="22"/>
                <w:szCs w:val="22"/>
                <w:lang w:val="ka-GE"/>
              </w:rPr>
              <w:t xml:space="preserve"> შეზღუდვების </w:t>
            </w:r>
            <w:r w:rsidR="00E02052">
              <w:rPr>
                <w:rFonts w:cstheme="minorHAnsi"/>
                <w:sz w:val="22"/>
                <w:szCs w:val="22"/>
                <w:lang w:val="ka-GE"/>
              </w:rPr>
              <w:t xml:space="preserve">გათვალისწინებით) </w:t>
            </w:r>
            <w:r w:rsidR="0074322D" w:rsidRPr="00AB016D">
              <w:rPr>
                <w:rFonts w:cstheme="minorHAnsi"/>
                <w:sz w:val="22"/>
                <w:szCs w:val="22"/>
                <w:lang w:val="ka-GE"/>
              </w:rPr>
              <w:t xml:space="preserve">პროგრამის ვალდებულებათა უზრუნველყოფის შესახებ. თუ შემოწმების </w:t>
            </w:r>
            <w:r>
              <w:rPr>
                <w:rFonts w:cstheme="minorHAnsi"/>
                <w:sz w:val="22"/>
                <w:szCs w:val="22"/>
                <w:lang w:val="ka-GE"/>
              </w:rPr>
              <w:t xml:space="preserve">შედეგად </w:t>
            </w:r>
            <w:r w:rsidR="0074322D" w:rsidRPr="00AB016D">
              <w:rPr>
                <w:rFonts w:cstheme="minorHAnsi"/>
                <w:sz w:val="22"/>
                <w:szCs w:val="22"/>
                <w:lang w:val="ka-GE"/>
              </w:rPr>
              <w:t xml:space="preserve">დადგინდა (მათ შორის, </w:t>
            </w:r>
            <w:r w:rsidRPr="00AB016D">
              <w:rPr>
                <w:rFonts w:cstheme="minorHAnsi"/>
                <w:sz w:val="22"/>
                <w:szCs w:val="22"/>
                <w:lang w:val="ka-GE"/>
              </w:rPr>
              <w:t>კომერციული ბანკი</w:t>
            </w:r>
            <w:r>
              <w:rPr>
                <w:rFonts w:cstheme="minorHAnsi"/>
                <w:sz w:val="22"/>
                <w:szCs w:val="22"/>
                <w:lang w:val="ka-GE"/>
              </w:rPr>
              <w:t>ს</w:t>
            </w:r>
            <w:r w:rsidRPr="00AB016D">
              <w:rPr>
                <w:rFonts w:cstheme="minorHAnsi"/>
                <w:sz w:val="22"/>
                <w:szCs w:val="22"/>
                <w:lang w:val="ka-GE"/>
              </w:rPr>
              <w:t xml:space="preserve"> </w:t>
            </w:r>
            <w:r>
              <w:rPr>
                <w:rFonts w:cstheme="minorHAnsi"/>
                <w:sz w:val="22"/>
                <w:szCs w:val="22"/>
                <w:lang w:val="ka-GE"/>
              </w:rPr>
              <w:t>გადაწყვეტილებით,</w:t>
            </w:r>
            <w:r w:rsidRPr="00AB016D">
              <w:rPr>
                <w:rFonts w:cstheme="minorHAnsi"/>
                <w:sz w:val="22"/>
                <w:szCs w:val="22"/>
                <w:lang w:val="ka-GE"/>
              </w:rPr>
              <w:t xml:space="preserve"> </w:t>
            </w:r>
            <w:r w:rsidR="0074322D" w:rsidRPr="00AB016D">
              <w:rPr>
                <w:rFonts w:cstheme="minorHAnsi"/>
                <w:sz w:val="22"/>
                <w:szCs w:val="22"/>
                <w:lang w:val="ka-GE"/>
              </w:rPr>
              <w:t xml:space="preserve">შესაბამისი სტრეს-ტესტის გამოყენების </w:t>
            </w:r>
            <w:r>
              <w:rPr>
                <w:rFonts w:cstheme="minorHAnsi"/>
                <w:sz w:val="22"/>
                <w:szCs w:val="22"/>
                <w:lang w:val="ka-GE"/>
              </w:rPr>
              <w:t>საფუძველზე)</w:t>
            </w:r>
            <w:r w:rsidR="0074322D" w:rsidRPr="00AB016D">
              <w:rPr>
                <w:rFonts w:cstheme="minorHAnsi"/>
                <w:sz w:val="22"/>
                <w:szCs w:val="22"/>
                <w:lang w:val="ka-GE"/>
              </w:rPr>
              <w:t xml:space="preserve">, რომ უზრუნველყოფის აქტივების გაერთიანებაში განთავსებული აქტივები საკმარისი არ არის, </w:t>
            </w:r>
            <w:r w:rsidR="00840F37">
              <w:rPr>
                <w:rFonts w:cstheme="minorHAnsi"/>
                <w:sz w:val="22"/>
                <w:szCs w:val="22"/>
                <w:lang w:val="ka-GE"/>
              </w:rPr>
              <w:lastRenderedPageBreak/>
              <w:t xml:space="preserve">ემიტენტი </w:t>
            </w:r>
            <w:r w:rsidR="0074322D" w:rsidRPr="00AB016D">
              <w:rPr>
                <w:rFonts w:cstheme="minorHAnsi"/>
                <w:sz w:val="22"/>
                <w:szCs w:val="22"/>
                <w:lang w:val="ka-GE"/>
              </w:rPr>
              <w:t>ვალდებულია აღმოფხვრას შეუსაბამობა (სტრეს-ტესტის შემთხვევაში, სიმულაციიდან გამომდინარე ყველაზე დიდი დეფიციტის შევსებით) 10 სამუშაო დღის განმავლობაში.</w:t>
            </w:r>
          </w:p>
        </w:tc>
      </w:tr>
      <w:tr w:rsidR="0074322D" w:rsidRPr="005C26E6" w14:paraId="17AA25C6" w14:textId="2E014511" w:rsidTr="00AB016D">
        <w:tc>
          <w:tcPr>
            <w:tcW w:w="9639" w:type="dxa"/>
          </w:tcPr>
          <w:p w14:paraId="382B5196" w14:textId="77777777" w:rsidR="0074322D" w:rsidRDefault="000F140F">
            <w:pPr>
              <w:jc w:val="both"/>
              <w:rPr>
                <w:rFonts w:cstheme="minorHAnsi"/>
                <w:sz w:val="22"/>
                <w:szCs w:val="22"/>
                <w:lang w:val="ka-GE"/>
              </w:rPr>
            </w:pPr>
            <w:r>
              <w:rPr>
                <w:rFonts w:cstheme="minorHAnsi"/>
                <w:sz w:val="22"/>
                <w:szCs w:val="22"/>
                <w:lang w:val="ka-GE"/>
              </w:rPr>
              <w:lastRenderedPageBreak/>
              <w:t>5</w:t>
            </w:r>
            <w:r w:rsidR="0074322D" w:rsidRPr="00AB016D">
              <w:rPr>
                <w:rFonts w:cstheme="minorHAnsi"/>
                <w:sz w:val="22"/>
                <w:szCs w:val="22"/>
                <w:lang w:val="ka-GE"/>
              </w:rPr>
              <w:t>. კანონის მე-7 მუხლის პირველი პუნქტით დადგენილი გაანგარიშების ფარგლებში შესაძლოა გათვალისწინებული იქნეს სამომავლო დაშვებები/სტრეს-ტესტები. ასეთი დაშვებები/სტრეს-ტესტები და მათი გამოყენება სათანადოდ დოკუმენტირებული და აღწერილი უნდა იყოს.</w:t>
            </w:r>
          </w:p>
          <w:p w14:paraId="01C35753" w14:textId="32D96433" w:rsidR="00DA1E5B" w:rsidRPr="00E60F01" w:rsidRDefault="00DA1E5B" w:rsidP="00DA1E5B">
            <w:pPr>
              <w:jc w:val="both"/>
              <w:rPr>
                <w:rFonts w:cstheme="minorHAnsi"/>
                <w:sz w:val="22"/>
                <w:szCs w:val="22"/>
              </w:rPr>
            </w:pPr>
            <w:r>
              <w:rPr>
                <w:rFonts w:cstheme="minorHAnsi"/>
                <w:sz w:val="22"/>
                <w:szCs w:val="22"/>
                <w:lang w:val="ka-GE"/>
              </w:rPr>
              <w:t xml:space="preserve">6. </w:t>
            </w:r>
            <w:r w:rsidRPr="00DA1E5B">
              <w:rPr>
                <w:rFonts w:cstheme="minorHAnsi"/>
                <w:sz w:val="22"/>
                <w:szCs w:val="22"/>
                <w:lang w:val="ka-GE"/>
              </w:rPr>
              <w:t xml:space="preserve">თუ უზრუნველყოფის აქტივების </w:t>
            </w:r>
            <w:r>
              <w:rPr>
                <w:rFonts w:cstheme="minorHAnsi"/>
                <w:sz w:val="22"/>
                <w:szCs w:val="22"/>
                <w:lang w:val="ka-GE"/>
              </w:rPr>
              <w:t xml:space="preserve">გაერთიანებაში შეტანილია </w:t>
            </w:r>
            <w:r w:rsidRPr="00DA1E5B">
              <w:rPr>
                <w:rFonts w:cstheme="minorHAnsi"/>
                <w:sz w:val="22"/>
                <w:szCs w:val="22"/>
                <w:lang w:val="ka-GE"/>
              </w:rPr>
              <w:t xml:space="preserve">დერივატივი, </w:t>
            </w:r>
            <w:r>
              <w:rPr>
                <w:rFonts w:cstheme="minorHAnsi"/>
                <w:sz w:val="22"/>
                <w:szCs w:val="22"/>
                <w:lang w:val="ka-GE"/>
              </w:rPr>
              <w:t>კანონის მე-7 მუხლის</w:t>
            </w:r>
            <w:r w:rsidRPr="00DA1E5B">
              <w:rPr>
                <w:rFonts w:cstheme="minorHAnsi"/>
                <w:sz w:val="22"/>
                <w:szCs w:val="22"/>
                <w:lang w:val="ka-GE"/>
              </w:rPr>
              <w:t xml:space="preserve"> პირველი პუნქტით განსაზღვრულ გაანგარიშებაში გათვალისწინებული უნდა იქნეს ასეთი დერ</w:t>
            </w:r>
            <w:r>
              <w:rPr>
                <w:rFonts w:cstheme="minorHAnsi"/>
                <w:sz w:val="22"/>
                <w:szCs w:val="22"/>
                <w:lang w:val="ka-GE"/>
              </w:rPr>
              <w:t>ივატივის</w:t>
            </w:r>
            <w:r w:rsidRPr="00DA1E5B">
              <w:rPr>
                <w:rFonts w:cstheme="minorHAnsi"/>
                <w:sz w:val="22"/>
                <w:szCs w:val="22"/>
                <w:lang w:val="ka-GE"/>
              </w:rPr>
              <w:t xml:space="preserve"> </w:t>
            </w:r>
            <w:r>
              <w:rPr>
                <w:rFonts w:cstheme="minorHAnsi"/>
                <w:sz w:val="22"/>
                <w:szCs w:val="22"/>
                <w:lang w:val="ka-GE"/>
              </w:rPr>
              <w:t>საბაზრო ღირებულების მიხედვით განსაზღვრული შესაბამისი მოთხოვნა ან  ვალდებულება.</w:t>
            </w:r>
          </w:p>
        </w:tc>
      </w:tr>
      <w:tr w:rsidR="0074322D" w:rsidRPr="005C26E6" w14:paraId="13267911" w14:textId="3DF9BCD5" w:rsidTr="00AB016D">
        <w:tc>
          <w:tcPr>
            <w:tcW w:w="9639" w:type="dxa"/>
          </w:tcPr>
          <w:p w14:paraId="3BA6C201" w14:textId="414B49DF" w:rsidR="0074322D" w:rsidRDefault="00DA1E5B">
            <w:pPr>
              <w:jc w:val="both"/>
              <w:rPr>
                <w:rFonts w:cstheme="minorHAnsi"/>
                <w:sz w:val="22"/>
                <w:szCs w:val="22"/>
                <w:lang w:val="ka-GE"/>
              </w:rPr>
            </w:pPr>
            <w:r>
              <w:rPr>
                <w:rFonts w:cstheme="minorHAnsi"/>
                <w:sz w:val="22"/>
                <w:szCs w:val="22"/>
                <w:lang w:val="ka-GE"/>
              </w:rPr>
              <w:t>7</w:t>
            </w:r>
            <w:r w:rsidR="0074322D" w:rsidRPr="00AB016D">
              <w:rPr>
                <w:rFonts w:cstheme="minorHAnsi"/>
                <w:sz w:val="22"/>
                <w:szCs w:val="22"/>
                <w:lang w:val="ka-GE"/>
              </w:rPr>
              <w:t>. კანონის მე-2 მუხლის პირველი პუნქტის „ი“ ქვეპუნქტის</w:t>
            </w:r>
            <w:r w:rsidR="00175864">
              <w:rPr>
                <w:rFonts w:cstheme="minorHAnsi"/>
                <w:sz w:val="22"/>
                <w:szCs w:val="22"/>
                <w:lang w:val="ka-GE"/>
              </w:rPr>
              <w:t>,</w:t>
            </w:r>
            <w:r w:rsidR="0074322D" w:rsidRPr="00AB016D">
              <w:rPr>
                <w:rFonts w:cstheme="minorHAnsi"/>
                <w:sz w:val="22"/>
                <w:szCs w:val="22"/>
                <w:lang w:val="ka-GE"/>
              </w:rPr>
              <w:t xml:space="preserve"> ამ </w:t>
            </w:r>
            <w:r w:rsidR="00175864">
              <w:rPr>
                <w:rFonts w:cstheme="minorHAnsi"/>
                <w:sz w:val="22"/>
                <w:szCs w:val="22"/>
                <w:lang w:val="ka-GE"/>
              </w:rPr>
              <w:t xml:space="preserve">მუხლისა და ამ წესის </w:t>
            </w:r>
            <w:r w:rsidR="0074322D" w:rsidRPr="00AB016D">
              <w:rPr>
                <w:rFonts w:cstheme="minorHAnsi"/>
                <w:sz w:val="22"/>
                <w:szCs w:val="22"/>
                <w:lang w:val="ka-GE"/>
              </w:rPr>
              <w:t>მე-</w:t>
            </w:r>
            <w:r w:rsidR="00175864">
              <w:rPr>
                <w:rFonts w:cstheme="minorHAnsi"/>
                <w:sz w:val="22"/>
                <w:szCs w:val="22"/>
                <w:lang w:val="ka-GE"/>
              </w:rPr>
              <w:t>5</w:t>
            </w:r>
            <w:r w:rsidR="0074322D" w:rsidRPr="00AB016D">
              <w:rPr>
                <w:rFonts w:cstheme="minorHAnsi"/>
                <w:sz w:val="22"/>
                <w:szCs w:val="22"/>
                <w:lang w:val="ka-GE"/>
              </w:rPr>
              <w:t xml:space="preserve"> მუხლის მიზნებისთვის, ჩაითვლება, რომ უზრუნველყოფის აქტივი დეფოლტშია, თუ ამ აქტივთან დაკავშირებით ფიქსირდება ვადაგადაცილება 90 დღეზე მეტი ვადით.</w:t>
            </w:r>
          </w:p>
          <w:p w14:paraId="30CDFB44" w14:textId="619552E2" w:rsidR="00C84A0F" w:rsidRPr="00E60F01" w:rsidRDefault="00DA1E5B" w:rsidP="00CA3985">
            <w:pPr>
              <w:jc w:val="both"/>
              <w:rPr>
                <w:rFonts w:cstheme="minorHAnsi"/>
                <w:sz w:val="22"/>
                <w:szCs w:val="22"/>
                <w:lang w:val="ka-GE"/>
              </w:rPr>
            </w:pPr>
            <w:r>
              <w:rPr>
                <w:rFonts w:cstheme="minorHAnsi"/>
                <w:sz w:val="22"/>
                <w:szCs w:val="22"/>
                <w:lang w:val="ka-GE"/>
              </w:rPr>
              <w:t>8</w:t>
            </w:r>
            <w:r w:rsidR="00C84A0F">
              <w:rPr>
                <w:rFonts w:cstheme="minorHAnsi"/>
                <w:sz w:val="22"/>
                <w:szCs w:val="22"/>
                <w:lang w:val="ka-GE"/>
              </w:rPr>
              <w:t xml:space="preserve">. </w:t>
            </w:r>
            <w:r w:rsidR="00C84A0F" w:rsidRPr="00C84A0F">
              <w:rPr>
                <w:rFonts w:cstheme="minorHAnsi"/>
                <w:sz w:val="22"/>
                <w:szCs w:val="22"/>
                <w:lang w:val="ka-GE"/>
              </w:rPr>
              <w:t>ეს მუხლი შესაბამისად ვრცელდება აგრეთვე რეფინანსირების ბანკის მოვალესა და მის უზრუნველყოფის აქტივებზე</w:t>
            </w:r>
            <w:r w:rsidR="008A735C">
              <w:rPr>
                <w:rFonts w:cstheme="minorHAnsi"/>
                <w:sz w:val="22"/>
                <w:szCs w:val="22"/>
                <w:lang w:val="ka-GE"/>
              </w:rPr>
              <w:t>.</w:t>
            </w:r>
            <w:r w:rsidR="00013048">
              <w:rPr>
                <w:rFonts w:cstheme="minorHAnsi"/>
                <w:sz w:val="22"/>
                <w:szCs w:val="22"/>
              </w:rPr>
              <w:t xml:space="preserve"> </w:t>
            </w:r>
            <w:r w:rsidR="00013048">
              <w:rPr>
                <w:rFonts w:cstheme="minorHAnsi"/>
                <w:sz w:val="22"/>
                <w:szCs w:val="22"/>
                <w:lang w:val="ka-GE"/>
              </w:rPr>
              <w:t xml:space="preserve">თუ რეფინანსირების ბანკის მოვალე ფინანსური ინსტიტუტი კომერციული ბანკი არ არის, ამ მუხლის პირველი პუნქტის „ა“ ქვეპუნქტისა და მე-3 პუნქტის </w:t>
            </w:r>
            <w:r w:rsidR="00CA3985">
              <w:rPr>
                <w:rFonts w:cstheme="minorHAnsi"/>
                <w:sz w:val="22"/>
                <w:szCs w:val="22"/>
                <w:lang w:val="ka-GE"/>
              </w:rPr>
              <w:t>მოთხოვნათა დაკმაყოფილების მიზნით გაითვალისწინება ფინანსური ინსტიტუტის ეკვივალენტური ხარისხის იპოთეკური სესხები.</w:t>
            </w:r>
            <w:r w:rsidR="00013048">
              <w:rPr>
                <w:rFonts w:cstheme="minorHAnsi"/>
                <w:sz w:val="22"/>
                <w:szCs w:val="22"/>
                <w:lang w:val="ka-GE"/>
              </w:rPr>
              <w:t xml:space="preserve"> </w:t>
            </w:r>
          </w:p>
        </w:tc>
      </w:tr>
      <w:tr w:rsidR="0074322D" w:rsidRPr="005C26E6" w14:paraId="691E0D26" w14:textId="692D3FE9" w:rsidTr="00AB016D">
        <w:tc>
          <w:tcPr>
            <w:tcW w:w="9639" w:type="dxa"/>
          </w:tcPr>
          <w:p w14:paraId="07F9B02E" w14:textId="77777777" w:rsidR="0074322D" w:rsidRPr="00AB016D" w:rsidRDefault="0074322D" w:rsidP="00AB016D">
            <w:pPr>
              <w:jc w:val="both"/>
              <w:rPr>
                <w:rFonts w:cstheme="minorHAnsi"/>
                <w:b/>
                <w:sz w:val="22"/>
                <w:szCs w:val="22"/>
              </w:rPr>
            </w:pPr>
          </w:p>
        </w:tc>
      </w:tr>
      <w:tr w:rsidR="0074322D" w:rsidRPr="005C26E6" w14:paraId="22300081" w14:textId="10E882B8" w:rsidTr="00AB016D">
        <w:tc>
          <w:tcPr>
            <w:tcW w:w="9639" w:type="dxa"/>
          </w:tcPr>
          <w:p w14:paraId="42EB948D" w14:textId="3BE7FE50" w:rsidR="0074322D" w:rsidRPr="007D758F" w:rsidRDefault="0074322D" w:rsidP="00AB016D">
            <w:pPr>
              <w:pStyle w:val="Heading3"/>
              <w:jc w:val="both"/>
              <w:outlineLvl w:val="2"/>
              <w:rPr>
                <w:rFonts w:ascii="Sylfaen" w:hAnsi="Sylfaen" w:cstheme="minorHAnsi"/>
                <w:b/>
                <w:color w:val="000000" w:themeColor="text1"/>
                <w:sz w:val="22"/>
                <w:szCs w:val="22"/>
              </w:rPr>
            </w:pPr>
            <w:r w:rsidRPr="007D758F">
              <w:rPr>
                <w:rFonts w:ascii="Sylfaen" w:hAnsi="Sylfaen" w:cstheme="minorHAnsi"/>
                <w:b/>
                <w:color w:val="000000" w:themeColor="text1"/>
                <w:sz w:val="22"/>
                <w:szCs w:val="22"/>
                <w:lang w:val="ka-GE"/>
              </w:rPr>
              <w:t xml:space="preserve">მუხლი </w:t>
            </w:r>
            <w:r w:rsidR="000F140F" w:rsidRPr="007D758F">
              <w:rPr>
                <w:rFonts w:ascii="Sylfaen" w:hAnsi="Sylfaen" w:cstheme="minorHAnsi"/>
                <w:b/>
                <w:color w:val="000000" w:themeColor="text1"/>
                <w:sz w:val="22"/>
                <w:szCs w:val="22"/>
                <w:lang w:val="ka-GE"/>
              </w:rPr>
              <w:t>5.</w:t>
            </w:r>
            <w:r w:rsidRPr="007D758F">
              <w:rPr>
                <w:rFonts w:ascii="Sylfaen" w:hAnsi="Sylfaen" w:cstheme="minorHAnsi"/>
                <w:b/>
                <w:color w:val="000000" w:themeColor="text1"/>
                <w:sz w:val="22"/>
                <w:szCs w:val="22"/>
                <w:lang w:val="ka-GE"/>
              </w:rPr>
              <w:t xml:space="preserve"> ლიკვიდურობის მოთხოვნები (ლიკვიდურობის ბუფერი)</w:t>
            </w:r>
          </w:p>
        </w:tc>
      </w:tr>
      <w:tr w:rsidR="0074322D" w:rsidRPr="005C26E6" w14:paraId="067CDE0E" w14:textId="77777777" w:rsidTr="00AB016D">
        <w:tc>
          <w:tcPr>
            <w:tcW w:w="9639" w:type="dxa"/>
          </w:tcPr>
          <w:p w14:paraId="58DBE213" w14:textId="2993FC2E" w:rsidR="0074322D" w:rsidRPr="00AB016D" w:rsidRDefault="0074322D" w:rsidP="00DA1E5B">
            <w:pPr>
              <w:pStyle w:val="Heading3"/>
              <w:jc w:val="both"/>
              <w:outlineLvl w:val="2"/>
              <w:rPr>
                <w:rFonts w:ascii="Sylfaen" w:eastAsiaTheme="minorHAnsi" w:hAnsi="Sylfaen" w:cstheme="minorBidi"/>
                <w:color w:val="auto"/>
                <w:sz w:val="22"/>
                <w:szCs w:val="22"/>
                <w:lang w:val="ka-GE"/>
              </w:rPr>
            </w:pPr>
            <w:r w:rsidRPr="00AB016D">
              <w:rPr>
                <w:rFonts w:ascii="Sylfaen" w:eastAsiaTheme="minorHAnsi" w:hAnsi="Sylfaen" w:cstheme="minorBidi"/>
                <w:color w:val="auto"/>
                <w:sz w:val="22"/>
                <w:szCs w:val="22"/>
                <w:lang w:val="ka-GE"/>
              </w:rPr>
              <w:t xml:space="preserve">1. კანონის მე-8 მუხლის პირველი პუნქტით დადგენილი მოთხოვნის დასაკმაყოფილებლად, უზრუნველყოფის აქტივების გაერთიანება, ლიკვიდურობის ბუფერის სახით, ნებისმიერ ეტაპზე უნდა შეიცავდეს დამატებით აქტივებს, რომელთა საბაზრო ღირებულება (კანონის მე-8 მუხლის მე-2 პუნქტით განსაზღვრული შეზღუდვის გათვალისწინებით) უნდა იყოს ტოლი ან აღემატებოდეს პროგრამის წმინდა ფულადი ლიკვიდურობის გადინებას (ასეთის არსებობის შემთხვევაში) მომდევნო 180 </w:t>
            </w:r>
            <w:r w:rsidR="00DA1E5B">
              <w:rPr>
                <w:rFonts w:ascii="Sylfaen" w:eastAsiaTheme="minorHAnsi" w:hAnsi="Sylfaen" w:cstheme="minorBidi"/>
                <w:color w:val="auto"/>
                <w:sz w:val="22"/>
                <w:szCs w:val="22"/>
                <w:lang w:val="ka-GE"/>
              </w:rPr>
              <w:t xml:space="preserve">კალენდარული </w:t>
            </w:r>
            <w:r w:rsidRPr="00AB016D">
              <w:rPr>
                <w:rFonts w:ascii="Sylfaen" w:eastAsiaTheme="minorHAnsi" w:hAnsi="Sylfaen" w:cstheme="minorBidi"/>
                <w:color w:val="auto"/>
                <w:sz w:val="22"/>
                <w:szCs w:val="22"/>
                <w:lang w:val="ka-GE"/>
              </w:rPr>
              <w:t>დღის განმავლობაში.</w:t>
            </w:r>
          </w:p>
        </w:tc>
      </w:tr>
      <w:tr w:rsidR="0074322D" w:rsidRPr="005C26E6" w14:paraId="4DA9381A" w14:textId="371963F3" w:rsidTr="00AB016D">
        <w:tc>
          <w:tcPr>
            <w:tcW w:w="9639" w:type="dxa"/>
          </w:tcPr>
          <w:p w14:paraId="641C3545" w14:textId="456D5CC6" w:rsidR="0074322D" w:rsidRPr="00E60F01" w:rsidRDefault="0074322D" w:rsidP="00AB016D">
            <w:pPr>
              <w:pStyle w:val="CommentText"/>
              <w:jc w:val="both"/>
              <w:rPr>
                <w:sz w:val="22"/>
                <w:szCs w:val="22"/>
              </w:rPr>
            </w:pPr>
            <w:r w:rsidRPr="00AB016D">
              <w:rPr>
                <w:sz w:val="22"/>
                <w:szCs w:val="22"/>
                <w:lang w:val="ka-GE"/>
              </w:rPr>
              <w:t>2. ლიკვიდურობის ბუფერში გაითვალისწინება მხოლოდ ის დამატებითი აქტივები, რომლებიც განიხილება მაღალი ხარისხის ლიკვიდურ აქტივებად</w:t>
            </w:r>
            <w:r w:rsidRPr="00AB016D">
              <w:rPr>
                <w:sz w:val="22"/>
                <w:szCs w:val="22"/>
              </w:rPr>
              <w:t xml:space="preserve"> </w:t>
            </w:r>
            <w:r w:rsidRPr="00AB016D">
              <w:rPr>
                <w:sz w:val="22"/>
                <w:szCs w:val="22"/>
                <w:lang w:val="ka-GE"/>
              </w:rPr>
              <w:t xml:space="preserve">„კომერციული ბანკების ლიკვიდობის გადაფარვის კოეფიციენტის დებულების დამტკიცების თაობაზე“  საქართველოს ეროვნული ბანკის პრეზიდენტის </w:t>
            </w:r>
            <w:r w:rsidR="00E50359">
              <w:rPr>
                <w:sz w:val="22"/>
                <w:szCs w:val="22"/>
                <w:lang w:val="ka-GE"/>
              </w:rPr>
              <w:t xml:space="preserve">2017 წლის 15 მაისის </w:t>
            </w:r>
            <w:r w:rsidRPr="00AB016D">
              <w:rPr>
                <w:sz w:val="22"/>
                <w:szCs w:val="22"/>
                <w:lang w:val="ka-GE"/>
              </w:rPr>
              <w:t>N70/04 ბრძანების შესაბამისად.</w:t>
            </w:r>
          </w:p>
        </w:tc>
      </w:tr>
      <w:tr w:rsidR="0074322D" w:rsidRPr="005C26E6" w14:paraId="0D1CA75E" w14:textId="7963635E" w:rsidTr="00AB016D">
        <w:tc>
          <w:tcPr>
            <w:tcW w:w="9639" w:type="dxa"/>
          </w:tcPr>
          <w:p w14:paraId="74E80568" w14:textId="5F14B954" w:rsidR="0074322D" w:rsidRPr="00AB016D" w:rsidRDefault="0074322D" w:rsidP="00AB016D">
            <w:pPr>
              <w:jc w:val="both"/>
              <w:rPr>
                <w:sz w:val="22"/>
                <w:szCs w:val="22"/>
                <w:lang w:val="ka-GE"/>
              </w:rPr>
            </w:pPr>
            <w:r w:rsidRPr="00AB016D">
              <w:rPr>
                <w:sz w:val="22"/>
                <w:szCs w:val="22"/>
                <w:lang w:val="ka-GE"/>
              </w:rPr>
              <w:t xml:space="preserve">3. ლიკვიდურობის ბუფერის გაანგარიშება უნდა ითვალისწინებდეს </w:t>
            </w:r>
            <w:r w:rsidRPr="00AB016D">
              <w:rPr>
                <w:rFonts w:cstheme="minorHAnsi"/>
                <w:sz w:val="22"/>
                <w:szCs w:val="22"/>
                <w:lang w:val="ka-GE"/>
              </w:rPr>
              <w:t>სამომავლო დაშვებებს / სტრეს-ტესტებს (მათ შორის, შესაბამის შემთხვევაში, გაცვლითი კურსისა და საპროცენტო განაკვეთის შესაძლო ცვლილებებს). ასეთი დაშვებები/სტრეს-ტესტები და მათი გამოყენება სათანადოდ დოკუმენტირებული და აღწერილი უნდა იყოს.</w:t>
            </w:r>
          </w:p>
        </w:tc>
      </w:tr>
      <w:tr w:rsidR="0074322D" w:rsidRPr="005C26E6" w14:paraId="784F3D81" w14:textId="04245528" w:rsidTr="00AB016D">
        <w:tc>
          <w:tcPr>
            <w:tcW w:w="9639" w:type="dxa"/>
          </w:tcPr>
          <w:p w14:paraId="00E38214" w14:textId="2D3E2E3B" w:rsidR="0074322D" w:rsidRPr="00AB016D" w:rsidRDefault="0074322D" w:rsidP="00AB016D">
            <w:pPr>
              <w:jc w:val="both"/>
              <w:rPr>
                <w:rFonts w:cstheme="minorHAnsi"/>
                <w:sz w:val="22"/>
                <w:szCs w:val="22"/>
                <w:lang w:val="ka-GE"/>
              </w:rPr>
            </w:pPr>
            <w:r w:rsidRPr="00AB016D">
              <w:rPr>
                <w:rFonts w:cstheme="minorHAnsi"/>
                <w:sz w:val="22"/>
                <w:szCs w:val="22"/>
                <w:lang w:val="ka-GE"/>
              </w:rPr>
              <w:t>4. ლიკვიდურობის ბუფერის გაანგარიშების მიზნებისათვის,  იპოთეკური ობლიგაციიდან გამომდინარე ძირითადი თანხის დაფარვის თარიღად ის თარიღი ჩაითვლება, რომელ</w:t>
            </w:r>
            <w:r w:rsidR="006760BA">
              <w:rPr>
                <w:rFonts w:cstheme="minorHAnsi"/>
                <w:sz w:val="22"/>
                <w:szCs w:val="22"/>
                <w:lang w:val="ka-GE"/>
              </w:rPr>
              <w:t>ში</w:t>
            </w:r>
            <w:r w:rsidRPr="00AB016D">
              <w:rPr>
                <w:rFonts w:cstheme="minorHAnsi"/>
                <w:sz w:val="22"/>
                <w:szCs w:val="22"/>
                <w:lang w:val="ka-GE"/>
              </w:rPr>
              <w:t>ც ძირითადი თანხის გადახდის ვალდებულება ვადამოსული გახდება ემისიის პირობების შესაბამისად იპოთეკური ობლიგაციის ძირითადი თანხის დაფარვის თარიღის გადაწევის შემთხვევაში.</w:t>
            </w:r>
          </w:p>
        </w:tc>
      </w:tr>
      <w:tr w:rsidR="0074322D" w:rsidRPr="005C26E6" w14:paraId="38144D4F" w14:textId="3301E2A1" w:rsidTr="00AB016D">
        <w:tc>
          <w:tcPr>
            <w:tcW w:w="9639" w:type="dxa"/>
          </w:tcPr>
          <w:p w14:paraId="6A5FF827" w14:textId="1DB3A4A1" w:rsidR="0074322D" w:rsidRPr="00AB016D" w:rsidRDefault="0074322D" w:rsidP="00AB016D">
            <w:pPr>
              <w:jc w:val="both"/>
              <w:rPr>
                <w:rFonts w:cstheme="minorHAnsi"/>
                <w:sz w:val="22"/>
                <w:szCs w:val="22"/>
                <w:lang w:val="ka-GE"/>
              </w:rPr>
            </w:pPr>
            <w:r w:rsidRPr="00AB016D">
              <w:rPr>
                <w:rFonts w:cstheme="minorHAnsi"/>
                <w:sz w:val="22"/>
                <w:szCs w:val="22"/>
                <w:lang w:val="ka-GE"/>
              </w:rPr>
              <w:t xml:space="preserve">5. </w:t>
            </w:r>
            <w:r w:rsidR="00840F37">
              <w:rPr>
                <w:rFonts w:cstheme="minorHAnsi"/>
                <w:sz w:val="22"/>
                <w:szCs w:val="22"/>
                <w:lang w:val="ka-GE"/>
              </w:rPr>
              <w:t>ემიტენტი</w:t>
            </w:r>
            <w:r w:rsidRPr="00AB016D">
              <w:rPr>
                <w:rFonts w:cstheme="minorHAnsi"/>
                <w:sz w:val="22"/>
                <w:szCs w:val="22"/>
                <w:lang w:val="ka-GE"/>
              </w:rPr>
              <w:t xml:space="preserve">/რეფინანსირების ბანკის მოვალე ვალდებულია ყოველ სამუშაო დღეს შეამოწმოს, შესრულებულია თუ არა </w:t>
            </w:r>
            <w:r w:rsidRPr="00AB016D">
              <w:rPr>
                <w:sz w:val="22"/>
                <w:szCs w:val="22"/>
                <w:lang w:val="ka-GE"/>
              </w:rPr>
              <w:t xml:space="preserve">ლიკვიდურობის ბუფერის დაცვის მოთხოვნა. </w:t>
            </w:r>
            <w:r w:rsidRPr="00AB016D">
              <w:rPr>
                <w:rFonts w:cstheme="minorHAnsi"/>
                <w:sz w:val="22"/>
                <w:szCs w:val="22"/>
                <w:lang w:val="ka-GE"/>
              </w:rPr>
              <w:t xml:space="preserve">თუ შემოწმების შედეგად დადგინდა, რომ  აღნიშნული მოთხოვნა დარღვეულია, </w:t>
            </w:r>
            <w:r w:rsidR="00840F37">
              <w:rPr>
                <w:rFonts w:cstheme="minorHAnsi"/>
                <w:sz w:val="22"/>
                <w:szCs w:val="22"/>
                <w:lang w:val="ka-GE"/>
              </w:rPr>
              <w:t>ემიტენტი</w:t>
            </w:r>
            <w:r w:rsidRPr="00AB016D">
              <w:rPr>
                <w:rFonts w:cstheme="minorHAnsi"/>
                <w:sz w:val="22"/>
                <w:szCs w:val="22"/>
                <w:lang w:val="ka-GE"/>
              </w:rPr>
              <w:t xml:space="preserve">/რეფინანსირების ბანკის მოვალე ვალდებულია აღმოფხვრას შეუსაბამობა (სტრეს-ტესტის შემთხვევაში, </w:t>
            </w:r>
            <w:r w:rsidRPr="00AB016D">
              <w:rPr>
                <w:rFonts w:cstheme="minorHAnsi"/>
                <w:sz w:val="22"/>
                <w:szCs w:val="22"/>
                <w:lang w:val="ka-GE"/>
              </w:rPr>
              <w:lastRenderedPageBreak/>
              <w:t>სიმულაციიდან გამომდინარე ყველაზე დიდი დეფიციტის შევსებით) 10 სამუშაო დღის განმავლობაში.</w:t>
            </w:r>
            <w:r w:rsidRPr="00AB016D" w:rsidDel="007F5521">
              <w:rPr>
                <w:rFonts w:cstheme="minorHAnsi"/>
                <w:sz w:val="22"/>
                <w:szCs w:val="22"/>
                <w:lang w:val="ka-GE"/>
              </w:rPr>
              <w:t xml:space="preserve"> </w:t>
            </w:r>
          </w:p>
        </w:tc>
      </w:tr>
      <w:tr w:rsidR="0074322D" w:rsidRPr="005C26E6" w14:paraId="126522F1" w14:textId="7EBFE850" w:rsidTr="00AB016D">
        <w:tc>
          <w:tcPr>
            <w:tcW w:w="9639" w:type="dxa"/>
          </w:tcPr>
          <w:p w14:paraId="23403C0D" w14:textId="77777777" w:rsidR="0074322D" w:rsidRPr="00AB016D" w:rsidRDefault="0074322D" w:rsidP="00AB016D">
            <w:pPr>
              <w:jc w:val="both"/>
              <w:rPr>
                <w:sz w:val="22"/>
                <w:szCs w:val="22"/>
              </w:rPr>
            </w:pPr>
          </w:p>
        </w:tc>
      </w:tr>
      <w:tr w:rsidR="0074322D" w:rsidRPr="005C26E6" w14:paraId="346E3BEC" w14:textId="724C8348" w:rsidTr="00AB016D">
        <w:tc>
          <w:tcPr>
            <w:tcW w:w="9639" w:type="dxa"/>
          </w:tcPr>
          <w:p w14:paraId="7C5542B6" w14:textId="4E141123" w:rsidR="0074322D" w:rsidRPr="00AB016D" w:rsidRDefault="0074322D" w:rsidP="00AB016D">
            <w:pPr>
              <w:pStyle w:val="Heading3"/>
              <w:jc w:val="both"/>
              <w:outlineLvl w:val="2"/>
              <w:rPr>
                <w:rFonts w:ascii="Sylfaen" w:hAnsi="Sylfaen" w:cstheme="minorHAnsi"/>
                <w:b/>
                <w:color w:val="5B9BD5" w:themeColor="accent1"/>
                <w:sz w:val="22"/>
                <w:szCs w:val="22"/>
                <w:lang w:val="ka-GE"/>
              </w:rPr>
            </w:pPr>
            <w:r w:rsidRPr="007D758F">
              <w:rPr>
                <w:rFonts w:ascii="Sylfaen" w:hAnsi="Sylfaen" w:cstheme="minorHAnsi"/>
                <w:b/>
                <w:color w:val="000000" w:themeColor="text1"/>
                <w:sz w:val="22"/>
                <w:szCs w:val="22"/>
                <w:lang w:val="ka-GE"/>
              </w:rPr>
              <w:t xml:space="preserve">მუხლი </w:t>
            </w:r>
            <w:r w:rsidR="00E02052" w:rsidRPr="007D758F">
              <w:rPr>
                <w:rFonts w:ascii="Sylfaen" w:hAnsi="Sylfaen" w:cstheme="minorHAnsi"/>
                <w:b/>
                <w:color w:val="000000" w:themeColor="text1"/>
                <w:sz w:val="22"/>
                <w:szCs w:val="22"/>
                <w:lang w:val="ka-GE"/>
              </w:rPr>
              <w:t>6</w:t>
            </w:r>
            <w:r w:rsidRPr="007D758F">
              <w:rPr>
                <w:rFonts w:ascii="Sylfaen" w:hAnsi="Sylfaen" w:cstheme="minorHAnsi"/>
                <w:b/>
                <w:color w:val="000000" w:themeColor="text1"/>
                <w:sz w:val="22"/>
                <w:szCs w:val="22"/>
                <w:lang w:val="ka-GE"/>
              </w:rPr>
              <w:t>. შეფასების მოთხოვნები</w:t>
            </w:r>
          </w:p>
        </w:tc>
      </w:tr>
      <w:tr w:rsidR="0074322D" w:rsidRPr="005C26E6" w14:paraId="346DACC4" w14:textId="6DED2D23" w:rsidTr="00AB016D">
        <w:tc>
          <w:tcPr>
            <w:tcW w:w="9639" w:type="dxa"/>
          </w:tcPr>
          <w:p w14:paraId="3EE97CA5" w14:textId="0297C4DE" w:rsidR="0074322D" w:rsidRPr="00AB016D" w:rsidRDefault="0074322D" w:rsidP="009749EA">
            <w:pPr>
              <w:jc w:val="both"/>
              <w:rPr>
                <w:rFonts w:cstheme="minorHAnsi"/>
                <w:sz w:val="22"/>
                <w:szCs w:val="22"/>
                <w:lang w:val="ka-GE"/>
              </w:rPr>
            </w:pPr>
            <w:r w:rsidRPr="00AB016D">
              <w:rPr>
                <w:rFonts w:cstheme="minorHAnsi"/>
                <w:sz w:val="22"/>
                <w:szCs w:val="22"/>
                <w:lang w:val="ka-GE"/>
              </w:rPr>
              <w:t xml:space="preserve">1. იმ უძრავი ქონების საბაზრო ღირებულების შეფასება, რომელიც გამოყენებულია უზრუნველყოფის აქტივების გაერთიანებაში შეტანილი იპოთეკური სესხის უზრუნველსაყოფად, უნდა განხორციელდეს </w:t>
            </w:r>
            <w:r w:rsidR="00477158" w:rsidRPr="00AB016D">
              <w:rPr>
                <w:rFonts w:cstheme="minorHAnsi"/>
                <w:sz w:val="22"/>
                <w:szCs w:val="22"/>
                <w:lang w:val="ka-GE"/>
              </w:rPr>
              <w:t xml:space="preserve">„კომერციული ბანკებისათვის უძრავი ქონების შეფასების ინსტრუქციის დამტკიცების თაობაზე“ </w:t>
            </w:r>
            <w:r w:rsidRPr="00AB016D">
              <w:rPr>
                <w:rFonts w:cstheme="minorHAnsi"/>
                <w:sz w:val="22"/>
                <w:szCs w:val="22"/>
                <w:lang w:val="ka-GE"/>
              </w:rPr>
              <w:t xml:space="preserve">საქართველოს ეროვნული ბანკის პრეზიდენტის 2018 წლის 14 მაისის N84/04 ბრძანებით დამტკიცებული </w:t>
            </w:r>
            <w:r w:rsidR="00477158">
              <w:rPr>
                <w:rFonts w:cstheme="minorHAnsi"/>
                <w:sz w:val="22"/>
                <w:szCs w:val="22"/>
              </w:rPr>
              <w:t>ინ</w:t>
            </w:r>
            <w:r w:rsidR="00477158">
              <w:rPr>
                <w:rFonts w:cstheme="minorHAnsi"/>
                <w:sz w:val="22"/>
                <w:szCs w:val="22"/>
                <w:lang w:val="ka-GE"/>
              </w:rPr>
              <w:t>სტრუქციის</w:t>
            </w:r>
            <w:r w:rsidRPr="00AB016D">
              <w:rPr>
                <w:rFonts w:cstheme="minorHAnsi"/>
                <w:sz w:val="22"/>
                <w:szCs w:val="22"/>
                <w:lang w:val="ka-GE"/>
              </w:rPr>
              <w:t xml:space="preserve"> შესაბამისად.</w:t>
            </w:r>
          </w:p>
        </w:tc>
      </w:tr>
      <w:tr w:rsidR="0074322D" w:rsidRPr="005C26E6" w14:paraId="324F8B8D" w14:textId="1E5F9332" w:rsidTr="00AB016D">
        <w:tc>
          <w:tcPr>
            <w:tcW w:w="9639" w:type="dxa"/>
          </w:tcPr>
          <w:p w14:paraId="539EA30E" w14:textId="114254E0" w:rsidR="0074322D" w:rsidRPr="00AB016D" w:rsidRDefault="0074322D" w:rsidP="009749EA">
            <w:pPr>
              <w:jc w:val="both"/>
              <w:rPr>
                <w:rFonts w:cstheme="minorHAnsi"/>
                <w:sz w:val="22"/>
                <w:szCs w:val="22"/>
                <w:lang w:val="ka-GE"/>
              </w:rPr>
            </w:pPr>
            <w:r w:rsidRPr="00AB016D">
              <w:rPr>
                <w:rFonts w:cstheme="minorHAnsi"/>
                <w:sz w:val="22"/>
                <w:szCs w:val="22"/>
                <w:lang w:val="ka-GE"/>
              </w:rPr>
              <w:t xml:space="preserve">2. კანონის მე-4 მუხლით დადგენილი მოთხოვნების შესრულების გარდა, </w:t>
            </w:r>
            <w:r w:rsidR="00840F37">
              <w:rPr>
                <w:rFonts w:cstheme="minorHAnsi"/>
                <w:sz w:val="22"/>
                <w:szCs w:val="22"/>
                <w:lang w:val="ka-GE"/>
              </w:rPr>
              <w:t>ემიტენტი</w:t>
            </w:r>
            <w:r w:rsidRPr="00AB016D">
              <w:rPr>
                <w:rFonts w:cstheme="minorHAnsi"/>
                <w:sz w:val="22"/>
                <w:szCs w:val="22"/>
                <w:lang w:val="ka-GE"/>
              </w:rPr>
              <w:t xml:space="preserve">/რეფინანსირების ბანკის მოვალე ვალდებულია სულ მცირე წელიწადში ერთხელ გადაამოწმოს, არსებობს თუ არა  უზრუნველყოფის აქტივების გაერთიანებაში შეტანილი იპოთეკური სესხის უზრუნველსაყოფად გამოყენებული უძრავი ქონების გადაფასების საფუძველი </w:t>
            </w:r>
            <w:r w:rsidR="00477158" w:rsidRPr="00AB016D">
              <w:rPr>
                <w:rFonts w:cstheme="minorHAnsi"/>
                <w:sz w:val="22"/>
                <w:szCs w:val="22"/>
                <w:lang w:val="ka-GE"/>
              </w:rPr>
              <w:t xml:space="preserve">„კომერციული ბანკებისათვის უძრავი ქონების შეფასების ინსტრუქციის დამტკიცების თაობაზე“ </w:t>
            </w:r>
            <w:r w:rsidRPr="00AB016D">
              <w:rPr>
                <w:rFonts w:cstheme="minorHAnsi"/>
                <w:sz w:val="22"/>
                <w:szCs w:val="22"/>
                <w:lang w:val="ka-GE"/>
              </w:rPr>
              <w:t xml:space="preserve">საქართველოს ეროვნული ბანკის პრეზიდენტის 2018 წლის 14 მაისის N84/04 ბრძანებით დამტკიცებული </w:t>
            </w:r>
            <w:r w:rsidR="00477158">
              <w:rPr>
                <w:rFonts w:cstheme="minorHAnsi"/>
                <w:sz w:val="22"/>
                <w:szCs w:val="22"/>
                <w:lang w:val="ka-GE"/>
              </w:rPr>
              <w:t>ინსტრუქციის</w:t>
            </w:r>
            <w:r w:rsidRPr="00AB016D">
              <w:rPr>
                <w:rFonts w:cstheme="minorHAnsi"/>
                <w:sz w:val="22"/>
                <w:szCs w:val="22"/>
                <w:lang w:val="ka-GE"/>
              </w:rPr>
              <w:t xml:space="preserve"> მე-4 მუხლის მე-7 პუნქტის შესაბამისად. </w:t>
            </w:r>
          </w:p>
        </w:tc>
      </w:tr>
      <w:tr w:rsidR="0074322D" w:rsidRPr="005C26E6" w14:paraId="6ED99F35" w14:textId="07E22B47" w:rsidTr="00AB016D">
        <w:tc>
          <w:tcPr>
            <w:tcW w:w="9639" w:type="dxa"/>
          </w:tcPr>
          <w:p w14:paraId="2CE7BD1B" w14:textId="77777777" w:rsidR="0074322D" w:rsidRDefault="0074322D" w:rsidP="00AB016D">
            <w:pPr>
              <w:jc w:val="both"/>
              <w:rPr>
                <w:rFonts w:cstheme="minorHAnsi"/>
                <w:sz w:val="22"/>
                <w:szCs w:val="22"/>
                <w:lang w:val="ka-GE"/>
              </w:rPr>
            </w:pPr>
            <w:r w:rsidRPr="00AB016D">
              <w:rPr>
                <w:rFonts w:cstheme="minorHAnsi"/>
                <w:sz w:val="22"/>
                <w:szCs w:val="22"/>
                <w:lang w:val="ka-GE"/>
              </w:rPr>
              <w:t>3. უზრუნველყოფის აქტივების გაერთიანებაში შეტანილი იპოთეკური სესხის უზრუნველსაყოფად გამოყენებული უძრავი ქონების საბაზრო ღირებულების შეფასებიდან</w:t>
            </w:r>
            <w:r w:rsidR="00E02052">
              <w:rPr>
                <w:rFonts w:cstheme="minorHAnsi"/>
                <w:sz w:val="22"/>
                <w:szCs w:val="22"/>
                <w:lang w:val="ka-GE"/>
              </w:rPr>
              <w:t>/გადაფასებიდან</w:t>
            </w:r>
            <w:r w:rsidRPr="00AB016D">
              <w:rPr>
                <w:rFonts w:cstheme="minorHAnsi"/>
                <w:sz w:val="22"/>
                <w:szCs w:val="22"/>
                <w:lang w:val="ka-GE"/>
              </w:rPr>
              <w:t xml:space="preserve"> ან</w:t>
            </w:r>
            <w:r w:rsidR="00E02052">
              <w:rPr>
                <w:rFonts w:cstheme="minorHAnsi"/>
                <w:sz w:val="22"/>
                <w:szCs w:val="22"/>
                <w:lang w:val="ka-GE"/>
              </w:rPr>
              <w:t xml:space="preserve"> გადაფასების</w:t>
            </w:r>
            <w:r w:rsidRPr="00AB016D">
              <w:rPr>
                <w:rFonts w:cstheme="minorHAnsi"/>
                <w:sz w:val="22"/>
                <w:szCs w:val="22"/>
                <w:lang w:val="ka-GE"/>
              </w:rPr>
              <w:t xml:space="preserve"> საჭიროების დადგენის მიზნით შემოწმებიდან იპოთეკური სესხის უზრუნველყოფის აქტივების გაერთიანებაში შეტანამდე გასული არ უნდა იყოს 12 თვეზე მეტი. </w:t>
            </w:r>
          </w:p>
          <w:p w14:paraId="4B36C555" w14:textId="77777777" w:rsidR="001C1691" w:rsidRDefault="001C1691" w:rsidP="00AB016D">
            <w:pPr>
              <w:jc w:val="both"/>
              <w:rPr>
                <w:rFonts w:cstheme="minorHAnsi"/>
                <w:sz w:val="22"/>
                <w:szCs w:val="22"/>
                <w:lang w:val="ka-GE"/>
              </w:rPr>
            </w:pPr>
          </w:p>
          <w:p w14:paraId="3550B582" w14:textId="77777777" w:rsidR="009371E3" w:rsidRPr="00E60F01" w:rsidRDefault="001C1691" w:rsidP="009371E3">
            <w:pPr>
              <w:jc w:val="both"/>
              <w:rPr>
                <w:rFonts w:cstheme="minorHAnsi"/>
                <w:b/>
                <w:sz w:val="22"/>
                <w:szCs w:val="22"/>
                <w:lang w:val="ka-GE"/>
              </w:rPr>
            </w:pPr>
            <w:r w:rsidRPr="00E60F01">
              <w:rPr>
                <w:rFonts w:cstheme="minorHAnsi"/>
                <w:b/>
                <w:sz w:val="22"/>
                <w:szCs w:val="22"/>
              </w:rPr>
              <w:t xml:space="preserve">მუხლი 7.  </w:t>
            </w:r>
            <w:r w:rsidRPr="00E60F01">
              <w:rPr>
                <w:rFonts w:cstheme="minorHAnsi"/>
                <w:b/>
                <w:sz w:val="22"/>
                <w:szCs w:val="22"/>
                <w:lang w:val="ka-GE"/>
              </w:rPr>
              <w:t xml:space="preserve">უზრუნველყოფის აქტივების მაქსიმალური </w:t>
            </w:r>
            <w:r w:rsidR="009371E3" w:rsidRPr="00E60F01">
              <w:rPr>
                <w:rFonts w:cstheme="minorHAnsi"/>
                <w:b/>
                <w:sz w:val="22"/>
                <w:szCs w:val="22"/>
                <w:lang w:val="ka-GE"/>
              </w:rPr>
              <w:t>ოდენობის შეზღუდვა</w:t>
            </w:r>
          </w:p>
          <w:p w14:paraId="6420DDCD" w14:textId="058950F3" w:rsidR="001C1691" w:rsidRDefault="00840F37" w:rsidP="00BD71B3">
            <w:pPr>
              <w:jc w:val="both"/>
              <w:rPr>
                <w:rFonts w:cstheme="minorHAnsi"/>
                <w:sz w:val="22"/>
                <w:szCs w:val="22"/>
                <w:lang w:val="ka-GE"/>
              </w:rPr>
            </w:pPr>
            <w:r>
              <w:rPr>
                <w:rFonts w:cstheme="minorHAnsi"/>
                <w:sz w:val="22"/>
                <w:szCs w:val="22"/>
                <w:lang w:val="ka-GE"/>
              </w:rPr>
              <w:t>ემიტენტის</w:t>
            </w:r>
            <w:r w:rsidR="009371E3" w:rsidRPr="00AB016D">
              <w:rPr>
                <w:rFonts w:cstheme="minorHAnsi"/>
                <w:sz w:val="22"/>
                <w:szCs w:val="22"/>
                <w:lang w:val="ka-GE"/>
              </w:rPr>
              <w:t xml:space="preserve">/რეფინანსირების ბანკის </w:t>
            </w:r>
            <w:r w:rsidR="009371E3">
              <w:rPr>
                <w:rFonts w:cstheme="minorHAnsi"/>
                <w:sz w:val="22"/>
                <w:szCs w:val="22"/>
                <w:lang w:val="ka-GE"/>
              </w:rPr>
              <w:t>მოვალის</w:t>
            </w:r>
            <w:r w:rsidR="009371E3" w:rsidRPr="001C1691">
              <w:rPr>
                <w:rFonts w:cstheme="minorHAnsi"/>
                <w:sz w:val="22"/>
                <w:szCs w:val="22"/>
                <w:lang w:val="ka-GE"/>
              </w:rPr>
              <w:t xml:space="preserve"> </w:t>
            </w:r>
            <w:r w:rsidR="00BD71B3">
              <w:rPr>
                <w:rFonts w:cstheme="minorHAnsi"/>
                <w:sz w:val="22"/>
                <w:szCs w:val="22"/>
                <w:lang w:val="ka-GE"/>
              </w:rPr>
              <w:t xml:space="preserve">მთლიანი </w:t>
            </w:r>
            <w:r w:rsidR="009371E3">
              <w:rPr>
                <w:rFonts w:cstheme="minorHAnsi"/>
                <w:sz w:val="22"/>
                <w:szCs w:val="22"/>
                <w:lang w:val="ka-GE"/>
              </w:rPr>
              <w:t xml:space="preserve">უზრუნველყოფის აქტივების საბალანსო ღირებულება </w:t>
            </w:r>
            <w:r w:rsidR="001C1691" w:rsidRPr="001C1691">
              <w:rPr>
                <w:rFonts w:cstheme="minorHAnsi"/>
                <w:sz w:val="22"/>
                <w:szCs w:val="22"/>
              </w:rPr>
              <w:t xml:space="preserve">არ უნდა აჭარბებდეს </w:t>
            </w:r>
            <w:r>
              <w:rPr>
                <w:rFonts w:cstheme="minorHAnsi"/>
                <w:sz w:val="22"/>
                <w:szCs w:val="22"/>
              </w:rPr>
              <w:t>ემიტენტის</w:t>
            </w:r>
            <w:r w:rsidR="001C1691" w:rsidRPr="001C1691">
              <w:rPr>
                <w:rFonts w:cstheme="minorHAnsi"/>
                <w:sz w:val="22"/>
                <w:szCs w:val="22"/>
              </w:rPr>
              <w:t>/რეფინანსირების ბანკის მოვალის მთლიან</w:t>
            </w:r>
            <w:r w:rsidR="009371E3">
              <w:rPr>
                <w:rFonts w:cstheme="minorHAnsi"/>
                <w:sz w:val="22"/>
                <w:szCs w:val="22"/>
                <w:lang w:val="ka-GE"/>
              </w:rPr>
              <w:t>ი</w:t>
            </w:r>
            <w:r w:rsidR="001C1691" w:rsidRPr="001C1691">
              <w:rPr>
                <w:rFonts w:cstheme="minorHAnsi"/>
                <w:sz w:val="22"/>
                <w:szCs w:val="22"/>
              </w:rPr>
              <w:t xml:space="preserve"> </w:t>
            </w:r>
            <w:r w:rsidR="009371E3">
              <w:rPr>
                <w:rFonts w:cstheme="minorHAnsi"/>
                <w:sz w:val="22"/>
                <w:szCs w:val="22"/>
              </w:rPr>
              <w:t>აქტივები</w:t>
            </w:r>
            <w:r w:rsidR="009371E3">
              <w:rPr>
                <w:rFonts w:cstheme="minorHAnsi"/>
                <w:sz w:val="22"/>
                <w:szCs w:val="22"/>
                <w:lang w:val="ka-GE"/>
              </w:rPr>
              <w:t>ს</w:t>
            </w:r>
            <w:r w:rsidR="001C1691" w:rsidRPr="001C1691">
              <w:rPr>
                <w:rFonts w:cstheme="minorHAnsi"/>
                <w:sz w:val="22"/>
                <w:szCs w:val="22"/>
              </w:rPr>
              <w:t xml:space="preserve"> </w:t>
            </w:r>
            <w:r w:rsidR="009371E3">
              <w:rPr>
                <w:rFonts w:cstheme="minorHAnsi"/>
                <w:sz w:val="22"/>
                <w:szCs w:val="22"/>
                <w:lang w:val="ka-GE"/>
              </w:rPr>
              <w:t>საბალანსო ღირებულების 4%-ს.</w:t>
            </w:r>
          </w:p>
          <w:p w14:paraId="370ACCAA" w14:textId="77777777" w:rsidR="009371E3" w:rsidRDefault="009371E3" w:rsidP="00160496">
            <w:pPr>
              <w:jc w:val="both"/>
              <w:rPr>
                <w:rFonts w:cstheme="minorHAnsi"/>
                <w:sz w:val="22"/>
                <w:szCs w:val="22"/>
                <w:lang w:val="ka-GE"/>
              </w:rPr>
            </w:pPr>
          </w:p>
          <w:p w14:paraId="03A352F1" w14:textId="77777777" w:rsidR="009371E3" w:rsidRPr="00E60F01" w:rsidRDefault="009371E3" w:rsidP="00160496">
            <w:pPr>
              <w:jc w:val="both"/>
              <w:rPr>
                <w:rFonts w:cstheme="minorHAnsi"/>
                <w:b/>
                <w:sz w:val="22"/>
                <w:szCs w:val="22"/>
                <w:lang w:val="ka-GE"/>
              </w:rPr>
            </w:pPr>
            <w:r w:rsidRPr="00E60F01">
              <w:rPr>
                <w:rFonts w:cstheme="minorHAnsi"/>
                <w:b/>
                <w:sz w:val="22"/>
                <w:szCs w:val="22"/>
                <w:lang w:val="ka-GE"/>
              </w:rPr>
              <w:t>მუხლი 8. საზედამხედველო ზომები ან/და სანქცია</w:t>
            </w:r>
          </w:p>
          <w:p w14:paraId="0AA2F872" w14:textId="2D58D94B" w:rsidR="009371E3" w:rsidRPr="009371E3" w:rsidRDefault="00840F37" w:rsidP="00E50359">
            <w:pPr>
              <w:jc w:val="both"/>
              <w:rPr>
                <w:rFonts w:cstheme="minorHAnsi"/>
                <w:sz w:val="22"/>
                <w:szCs w:val="22"/>
                <w:lang w:val="ka-GE"/>
              </w:rPr>
            </w:pPr>
            <w:r>
              <w:rPr>
                <w:rFonts w:cstheme="minorHAnsi"/>
                <w:sz w:val="22"/>
                <w:szCs w:val="22"/>
              </w:rPr>
              <w:t>ემიტენტი</w:t>
            </w:r>
            <w:r>
              <w:rPr>
                <w:rFonts w:cstheme="minorHAnsi"/>
                <w:sz w:val="22"/>
                <w:szCs w:val="22"/>
                <w:lang w:val="ka-GE"/>
              </w:rPr>
              <w:t>ს</w:t>
            </w:r>
            <w:r w:rsidR="009371E3">
              <w:rPr>
                <w:rFonts w:cstheme="minorHAnsi"/>
                <w:sz w:val="22"/>
                <w:szCs w:val="22"/>
                <w:lang w:val="ka-GE"/>
              </w:rPr>
              <w:t>/</w:t>
            </w:r>
            <w:r w:rsidR="009371E3" w:rsidRPr="00AB016D">
              <w:rPr>
                <w:rFonts w:cstheme="minorHAnsi"/>
                <w:sz w:val="22"/>
                <w:szCs w:val="22"/>
                <w:lang w:val="ka-GE"/>
              </w:rPr>
              <w:t xml:space="preserve">რეფინანსირების ბანკის </w:t>
            </w:r>
            <w:r w:rsidR="009371E3">
              <w:rPr>
                <w:rFonts w:cstheme="minorHAnsi"/>
                <w:sz w:val="22"/>
                <w:szCs w:val="22"/>
                <w:lang w:val="ka-GE"/>
              </w:rPr>
              <w:t>მოვალის</w:t>
            </w:r>
            <w:r w:rsidR="009371E3" w:rsidRPr="009371E3">
              <w:rPr>
                <w:rFonts w:cstheme="minorHAnsi"/>
                <w:sz w:val="22"/>
                <w:szCs w:val="22"/>
              </w:rPr>
              <w:t xml:space="preserve"> მიერ ამ წესით გათვალისწინებული მოთხოვნების დარღვევის შემთხვევაში ეროვნული ბანკი უფლებამოსილია გამოიყენოს საქართველოს კანონმდებლობით განსაზღვრული საზედამხედველო ზომები ან/და სანქცია.</w:t>
            </w:r>
          </w:p>
        </w:tc>
      </w:tr>
    </w:tbl>
    <w:p w14:paraId="79D2ED6D" w14:textId="0B99F4F8" w:rsidR="0074322D" w:rsidRDefault="0074322D">
      <w:pPr>
        <w:rPr>
          <w:sz w:val="28"/>
          <w:szCs w:val="28"/>
        </w:rPr>
      </w:pPr>
    </w:p>
    <w:p w14:paraId="2C577296" w14:textId="6BED2204" w:rsidR="0074322D" w:rsidRDefault="0074322D">
      <w:pPr>
        <w:rPr>
          <w:sz w:val="28"/>
          <w:szCs w:val="28"/>
        </w:rPr>
      </w:pPr>
    </w:p>
    <w:p w14:paraId="033EDDDB" w14:textId="1DD1CB57" w:rsidR="00882170" w:rsidRDefault="00882170">
      <w:pPr>
        <w:rPr>
          <w:sz w:val="28"/>
          <w:szCs w:val="28"/>
        </w:rPr>
      </w:pPr>
    </w:p>
    <w:p w14:paraId="1472859A" w14:textId="6EC01C01" w:rsidR="00882170" w:rsidRDefault="00882170">
      <w:pPr>
        <w:rPr>
          <w:sz w:val="28"/>
          <w:szCs w:val="28"/>
        </w:rPr>
      </w:pPr>
    </w:p>
    <w:p w14:paraId="5AFF350B" w14:textId="77777777" w:rsidR="007F6BC5" w:rsidRDefault="007F6BC5">
      <w:pPr>
        <w:rPr>
          <w:sz w:val="28"/>
          <w:szCs w:val="28"/>
        </w:rPr>
      </w:pPr>
    </w:p>
    <w:p w14:paraId="252714F5" w14:textId="7E9C52D3" w:rsidR="00882170" w:rsidRDefault="00882170">
      <w:pPr>
        <w:rPr>
          <w:sz w:val="28"/>
          <w:szCs w:val="28"/>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74322D" w:rsidRPr="000C34BF" w14:paraId="7F491FC5" w14:textId="77777777" w:rsidTr="000C34BF">
        <w:tc>
          <w:tcPr>
            <w:tcW w:w="9493" w:type="dxa"/>
          </w:tcPr>
          <w:p w14:paraId="2BEB5C85" w14:textId="77777777" w:rsidR="0074322D" w:rsidRPr="007D758F" w:rsidRDefault="0074322D" w:rsidP="007D758F">
            <w:pPr>
              <w:spacing w:after="80"/>
              <w:jc w:val="both"/>
              <w:rPr>
                <w:b/>
                <w:sz w:val="22"/>
                <w:szCs w:val="22"/>
                <w:lang w:val="ka-GE"/>
              </w:rPr>
            </w:pPr>
            <w:r w:rsidRPr="007D758F">
              <w:rPr>
                <w:b/>
                <w:sz w:val="22"/>
                <w:szCs w:val="22"/>
                <w:lang w:val="ka-GE"/>
              </w:rPr>
              <w:lastRenderedPageBreak/>
              <w:t>დანართი N 1</w:t>
            </w:r>
          </w:p>
        </w:tc>
      </w:tr>
      <w:tr w:rsidR="0074322D" w:rsidRPr="000C34BF" w14:paraId="29BBFAC5" w14:textId="77777777" w:rsidTr="000C34BF">
        <w:tc>
          <w:tcPr>
            <w:tcW w:w="9493" w:type="dxa"/>
          </w:tcPr>
          <w:p w14:paraId="43527B40" w14:textId="3830AF25" w:rsidR="00DA0B9B" w:rsidRPr="009749EA" w:rsidRDefault="0074322D" w:rsidP="007D758F">
            <w:pPr>
              <w:spacing w:after="80"/>
              <w:jc w:val="both"/>
              <w:rPr>
                <w:sz w:val="22"/>
                <w:szCs w:val="22"/>
                <w:lang w:val="ka-GE"/>
              </w:rPr>
            </w:pPr>
            <w:r w:rsidRPr="007D758F">
              <w:rPr>
                <w:sz w:val="22"/>
                <w:szCs w:val="22"/>
                <w:lang w:val="ka-GE"/>
              </w:rPr>
              <w:t xml:space="preserve">1. </w:t>
            </w:r>
            <w:r w:rsidR="00DA0B9B" w:rsidRPr="00DA0B9B">
              <w:rPr>
                <w:sz w:val="22"/>
                <w:szCs w:val="22"/>
                <w:lang w:val="ka-GE"/>
              </w:rPr>
              <w:t>ხელმძღვანელი ორგანოს</w:t>
            </w:r>
            <w:r w:rsidR="00477158">
              <w:rPr>
                <w:sz w:val="22"/>
                <w:szCs w:val="22"/>
                <w:lang w:val="ka-GE"/>
              </w:rPr>
              <w:t>/</w:t>
            </w:r>
            <w:r w:rsidR="00DA0B9B" w:rsidRPr="00DA0B9B">
              <w:rPr>
                <w:sz w:val="22"/>
                <w:szCs w:val="22"/>
                <w:lang w:val="ka-GE"/>
              </w:rPr>
              <w:t>დირექტორის დასტურის წერილი თანდართული ფორმით</w:t>
            </w:r>
            <w:r w:rsidR="00477158">
              <w:rPr>
                <w:sz w:val="22"/>
                <w:szCs w:val="22"/>
                <w:lang w:val="ka-GE"/>
              </w:rPr>
              <w:t>.</w:t>
            </w:r>
          </w:p>
          <w:p w14:paraId="5F4308F8" w14:textId="654B9A2C" w:rsidR="0074322D" w:rsidRPr="007D758F" w:rsidRDefault="00DA0B9B" w:rsidP="007D758F">
            <w:pPr>
              <w:spacing w:after="80"/>
              <w:jc w:val="both"/>
              <w:rPr>
                <w:sz w:val="22"/>
                <w:szCs w:val="22"/>
                <w:lang w:val="ka-GE"/>
              </w:rPr>
            </w:pPr>
            <w:r>
              <w:rPr>
                <w:sz w:val="22"/>
                <w:szCs w:val="22"/>
                <w:lang w:val="ka-GE"/>
              </w:rPr>
              <w:t xml:space="preserve">2. </w:t>
            </w:r>
            <w:r w:rsidR="0074322D" w:rsidRPr="007D758F">
              <w:rPr>
                <w:sz w:val="22"/>
                <w:szCs w:val="22"/>
                <w:lang w:val="ka-GE"/>
              </w:rPr>
              <w:t>ორგანიზაციული სტრუქტურის აღწერა, რაც, მათ შორის, უნდა მოიცავდეს მითითებას სამეთვალყურეო საბჭოს, ხელმძღვანელი ორგანოს წევრებზე და სხვა პირებზე, რომლებიც მონაწილეობას მიიღებენ იპოთეკური ობლიგაციების პროგრამის მართვასა და ზედამხედველობაში, ასევე ამ პირების შესაბამისი უფლება-მოვალეობების აღწერას.</w:t>
            </w:r>
          </w:p>
        </w:tc>
      </w:tr>
      <w:tr w:rsidR="0074322D" w:rsidRPr="000C34BF" w14:paraId="545724E0" w14:textId="77777777" w:rsidTr="000C34BF">
        <w:tc>
          <w:tcPr>
            <w:tcW w:w="9493" w:type="dxa"/>
          </w:tcPr>
          <w:p w14:paraId="2B9027E4" w14:textId="34F6E78B" w:rsidR="0074322D" w:rsidRPr="007D758F" w:rsidRDefault="00DA0B9B" w:rsidP="007D758F">
            <w:pPr>
              <w:spacing w:after="80"/>
              <w:jc w:val="both"/>
              <w:rPr>
                <w:sz w:val="22"/>
                <w:szCs w:val="22"/>
                <w:lang w:val="ka-GE"/>
              </w:rPr>
            </w:pPr>
            <w:r>
              <w:rPr>
                <w:sz w:val="22"/>
                <w:szCs w:val="22"/>
                <w:lang w:val="ka-GE"/>
              </w:rPr>
              <w:t>3</w:t>
            </w:r>
            <w:r w:rsidR="0074322D" w:rsidRPr="007D758F">
              <w:rPr>
                <w:sz w:val="22"/>
                <w:szCs w:val="22"/>
                <w:lang w:val="ka-GE"/>
              </w:rPr>
              <w:t xml:space="preserve">. ინფორმაცია და დოკუმენტები, რომლებიც ადასტურებს </w:t>
            </w:r>
            <w:r w:rsidR="00477158">
              <w:rPr>
                <w:sz w:val="22"/>
                <w:szCs w:val="22"/>
                <w:lang w:val="ka-GE"/>
              </w:rPr>
              <w:t>ამ დანართის მე-2</w:t>
            </w:r>
            <w:r w:rsidR="0074322D" w:rsidRPr="007D758F">
              <w:rPr>
                <w:sz w:val="22"/>
                <w:szCs w:val="22"/>
                <w:lang w:val="ka-GE"/>
              </w:rPr>
              <w:t xml:space="preserve"> პუნქტით გათვალისწინებული პირების სათანა</w:t>
            </w:r>
            <w:r w:rsidR="0008540D">
              <w:rPr>
                <w:sz w:val="22"/>
                <w:szCs w:val="22"/>
                <w:lang w:val="ka-GE"/>
              </w:rPr>
              <w:t>დ</w:t>
            </w:r>
            <w:r w:rsidR="0074322D" w:rsidRPr="007D758F">
              <w:rPr>
                <w:sz w:val="22"/>
                <w:szCs w:val="22"/>
                <w:lang w:val="ka-GE"/>
              </w:rPr>
              <w:t>ო გამოცდილებასა და ცოდნას</w:t>
            </w:r>
            <w:r w:rsidR="00477158">
              <w:rPr>
                <w:sz w:val="22"/>
                <w:szCs w:val="22"/>
                <w:lang w:val="ka-GE"/>
              </w:rPr>
              <w:t>.</w:t>
            </w:r>
          </w:p>
        </w:tc>
      </w:tr>
      <w:tr w:rsidR="0074322D" w:rsidRPr="000C34BF" w14:paraId="4C73A8E1" w14:textId="77777777" w:rsidTr="000C34BF">
        <w:tc>
          <w:tcPr>
            <w:tcW w:w="9493" w:type="dxa"/>
          </w:tcPr>
          <w:p w14:paraId="2E2E976B" w14:textId="2B76C219" w:rsidR="0074322D" w:rsidRPr="007D758F" w:rsidRDefault="00DA0B9B" w:rsidP="007D758F">
            <w:pPr>
              <w:spacing w:after="80"/>
              <w:jc w:val="both"/>
              <w:rPr>
                <w:sz w:val="22"/>
                <w:szCs w:val="22"/>
                <w:lang w:val="ka-GE"/>
              </w:rPr>
            </w:pPr>
            <w:r>
              <w:rPr>
                <w:sz w:val="22"/>
                <w:szCs w:val="22"/>
                <w:lang w:val="ka-GE"/>
              </w:rPr>
              <w:t>4</w:t>
            </w:r>
            <w:r w:rsidR="0074322D" w:rsidRPr="007D758F">
              <w:rPr>
                <w:sz w:val="22"/>
                <w:szCs w:val="22"/>
                <w:lang w:val="ka-GE"/>
              </w:rPr>
              <w:t>. განმცხადებლის საოპერაციო პროგრამის აღწერა, მათ შორის, ადეკვატური პოლიტიკა, პროცესები, სისტემები და მეთოდოლოგიები, რომლებიც გამოყენებული იქნება იპოთეკური ობლიგაციების პროგრამის განხორციელებისთვის</w:t>
            </w:r>
            <w:r w:rsidR="00477158">
              <w:rPr>
                <w:sz w:val="22"/>
                <w:szCs w:val="22"/>
                <w:lang w:val="ka-GE"/>
              </w:rPr>
              <w:t>.</w:t>
            </w:r>
          </w:p>
        </w:tc>
      </w:tr>
      <w:tr w:rsidR="0074322D" w:rsidRPr="000C34BF" w14:paraId="2816E12B" w14:textId="77777777" w:rsidTr="000C34BF">
        <w:tc>
          <w:tcPr>
            <w:tcW w:w="9493" w:type="dxa"/>
          </w:tcPr>
          <w:p w14:paraId="5E7BCA54" w14:textId="72B2B43B" w:rsidR="0074322D" w:rsidRDefault="00DA0B9B" w:rsidP="007D758F">
            <w:pPr>
              <w:spacing w:after="80"/>
              <w:jc w:val="both"/>
              <w:rPr>
                <w:sz w:val="22"/>
                <w:szCs w:val="22"/>
                <w:lang w:val="ka-GE"/>
              </w:rPr>
            </w:pPr>
            <w:r>
              <w:rPr>
                <w:sz w:val="22"/>
                <w:szCs w:val="22"/>
                <w:lang w:val="ka-GE"/>
              </w:rPr>
              <w:t>5.</w:t>
            </w:r>
            <w:r w:rsidR="0074322D" w:rsidRPr="007D758F">
              <w:rPr>
                <w:sz w:val="22"/>
                <w:szCs w:val="22"/>
                <w:lang w:val="ka-GE"/>
              </w:rPr>
              <w:t xml:space="preserve"> ინვესტორთა დაცვაზე ორიენტირებული, უზრუნველყოფის აქტივებად გამოყენებული იპოთეკური სესხების დამტკიცებისთვის, მათში ცვლილების შეტანისთვის, მათი განახლებისა და რეფინანსირებისთვის ადეკვატური პოლიტიკის, პროცესებისა და მეთოდოლოგიის აღწერა</w:t>
            </w:r>
            <w:r w:rsidR="00477158">
              <w:rPr>
                <w:sz w:val="22"/>
                <w:szCs w:val="22"/>
                <w:lang w:val="ka-GE"/>
              </w:rPr>
              <w:t>.</w:t>
            </w:r>
          </w:p>
          <w:p w14:paraId="0C22A4BF" w14:textId="306008E1" w:rsidR="00581F8A" w:rsidRPr="007D758F" w:rsidRDefault="00DA0B9B" w:rsidP="00581F8A">
            <w:pPr>
              <w:spacing w:after="80"/>
              <w:jc w:val="both"/>
              <w:rPr>
                <w:sz w:val="22"/>
                <w:szCs w:val="22"/>
                <w:lang w:val="ka-GE"/>
              </w:rPr>
            </w:pPr>
            <w:r>
              <w:rPr>
                <w:sz w:val="22"/>
                <w:szCs w:val="22"/>
                <w:lang w:val="ka-GE"/>
              </w:rPr>
              <w:t>6.</w:t>
            </w:r>
            <w:r w:rsidR="00581F8A">
              <w:rPr>
                <w:sz w:val="22"/>
                <w:szCs w:val="22"/>
                <w:lang w:val="ka-GE"/>
              </w:rPr>
              <w:t xml:space="preserve"> ინფორმაცია და დოკუმენტები, რომლებიც ადასტურებს, რომ განმცხადებელს </w:t>
            </w:r>
            <w:r w:rsidR="00581F8A" w:rsidRPr="00581F8A">
              <w:rPr>
                <w:sz w:val="22"/>
                <w:szCs w:val="22"/>
                <w:lang w:val="ka-GE"/>
              </w:rPr>
              <w:t>აქვს საკმარისი რესურსი უზრუნველყოფის აქტივების გაერთიანების შექმნისთვის, მართვისა და ზედამხედველობისთვის</w:t>
            </w:r>
            <w:r w:rsidR="00477158">
              <w:rPr>
                <w:sz w:val="22"/>
                <w:szCs w:val="22"/>
                <w:lang w:val="ka-GE"/>
              </w:rPr>
              <w:t>.</w:t>
            </w:r>
          </w:p>
        </w:tc>
      </w:tr>
      <w:tr w:rsidR="0074322D" w:rsidRPr="000C34BF" w14:paraId="0B3C89B5" w14:textId="77777777" w:rsidTr="000C34BF">
        <w:tc>
          <w:tcPr>
            <w:tcW w:w="9493" w:type="dxa"/>
          </w:tcPr>
          <w:p w14:paraId="10C907CA" w14:textId="776B8264" w:rsidR="0074322D" w:rsidRPr="007D758F" w:rsidRDefault="00DA0B9B" w:rsidP="007D758F">
            <w:pPr>
              <w:spacing w:after="80"/>
              <w:jc w:val="both"/>
              <w:rPr>
                <w:sz w:val="22"/>
                <w:szCs w:val="22"/>
                <w:lang w:val="ka-GE"/>
              </w:rPr>
            </w:pPr>
            <w:r>
              <w:rPr>
                <w:sz w:val="22"/>
                <w:szCs w:val="22"/>
                <w:lang w:val="ka-GE"/>
              </w:rPr>
              <w:t>7.</w:t>
            </w:r>
            <w:r w:rsidR="0074322D" w:rsidRPr="007D758F">
              <w:rPr>
                <w:sz w:val="22"/>
                <w:szCs w:val="22"/>
                <w:lang w:val="ka-GE"/>
              </w:rPr>
              <w:t xml:space="preserve"> განმცხადებლის შესაბამისობისა და შიდა აუდიტის ფუნქციების აღწერა იპოთეკური ობლიგაციების პროგრამასთან დაკავშირებით.</w:t>
            </w:r>
          </w:p>
        </w:tc>
      </w:tr>
    </w:tbl>
    <w:p w14:paraId="6EC71524" w14:textId="77777777" w:rsidR="00776D9A" w:rsidRPr="007D758F" w:rsidRDefault="00776D9A" w:rsidP="0074322D">
      <w:pPr>
        <w:rPr>
          <w:sz w:val="22"/>
          <w:szCs w:val="22"/>
        </w:rPr>
      </w:pPr>
    </w:p>
    <w:p w14:paraId="15827E04" w14:textId="3CE8A7A3" w:rsidR="00882170" w:rsidRDefault="0074322D" w:rsidP="007D758F">
      <w:pPr>
        <w:ind w:firstLine="142"/>
        <w:jc w:val="both"/>
        <w:rPr>
          <w:i/>
          <w:sz w:val="22"/>
          <w:szCs w:val="22"/>
          <w:lang w:val="ka-GE"/>
        </w:rPr>
      </w:pPr>
      <w:r w:rsidRPr="007D758F">
        <w:rPr>
          <w:b/>
          <w:sz w:val="22"/>
          <w:szCs w:val="22"/>
          <w:lang w:val="ka-GE"/>
        </w:rPr>
        <w:t>ხელმძღვანელი ორგანოს/დირექტორის დასტური</w:t>
      </w:r>
    </w:p>
    <w:p w14:paraId="3FE7FA61" w14:textId="03DECD9C" w:rsidR="0074322D" w:rsidRPr="007D758F" w:rsidRDefault="0074322D" w:rsidP="0074322D">
      <w:pPr>
        <w:ind w:left="142"/>
        <w:jc w:val="both"/>
        <w:rPr>
          <w:i/>
          <w:sz w:val="22"/>
          <w:szCs w:val="22"/>
          <w:lang w:val="ka-GE"/>
        </w:rPr>
      </w:pPr>
      <w:r w:rsidRPr="007D758F">
        <w:rPr>
          <w:i/>
          <w:sz w:val="22"/>
          <w:szCs w:val="22"/>
          <w:lang w:val="ka-GE"/>
        </w:rPr>
        <w:t xml:space="preserve">ვადასტურებ, რომ: </w:t>
      </w:r>
    </w:p>
    <w:p w14:paraId="417D34C7" w14:textId="77777777" w:rsidR="0074322D" w:rsidRPr="007D758F" w:rsidRDefault="0074322D" w:rsidP="0074322D">
      <w:pPr>
        <w:ind w:left="142"/>
        <w:jc w:val="both"/>
        <w:rPr>
          <w:i/>
          <w:sz w:val="22"/>
          <w:szCs w:val="22"/>
        </w:rPr>
      </w:pPr>
      <w:r w:rsidRPr="007D758F">
        <w:rPr>
          <w:i/>
          <w:sz w:val="22"/>
          <w:szCs w:val="22"/>
          <w:lang w:val="ka-GE"/>
        </w:rPr>
        <w:t xml:space="preserve">-წარმოდგენილი ინფორმაცია და დოკუმენტები არის სრული და შეესაბამება სინამდვილეს. </w:t>
      </w:r>
    </w:p>
    <w:p w14:paraId="7B5E9274" w14:textId="2FF44AEE" w:rsidR="0074322D" w:rsidRPr="007D758F" w:rsidRDefault="0074322D" w:rsidP="0074322D">
      <w:pPr>
        <w:ind w:left="142"/>
        <w:jc w:val="both"/>
        <w:rPr>
          <w:i/>
          <w:sz w:val="22"/>
          <w:szCs w:val="22"/>
        </w:rPr>
      </w:pPr>
      <w:r w:rsidRPr="007D758F">
        <w:rPr>
          <w:i/>
          <w:sz w:val="22"/>
          <w:szCs w:val="22"/>
          <w:lang w:val="ka-GE"/>
        </w:rPr>
        <w:t>-საქართველოს ეროვნული ბანკის მიერ წინამდებარე განცხადების თაობაზე გადაწყვეტილების მიღებამდე, წარმოდგენილ ინფორმაციასთან/დოკუმენტებთან დაკავშირებული ნებისმიერი ცვლილების განხორციელების შემთხვევაში, დაუყოვნებლივ შევატყობინებ საქართველოს ეროვნულ ბანკს აღნიშნულის თაობაზე</w:t>
      </w:r>
      <w:r w:rsidRPr="007D758F">
        <w:rPr>
          <w:i/>
          <w:sz w:val="22"/>
          <w:szCs w:val="22"/>
        </w:rPr>
        <w:t xml:space="preserve">. </w:t>
      </w:r>
    </w:p>
    <w:p w14:paraId="76255603" w14:textId="1E1CC36F" w:rsidR="0074322D" w:rsidRPr="007D758F" w:rsidRDefault="0074322D" w:rsidP="0074322D">
      <w:pPr>
        <w:ind w:left="142"/>
        <w:jc w:val="both"/>
        <w:rPr>
          <w:i/>
          <w:sz w:val="22"/>
          <w:szCs w:val="22"/>
        </w:rPr>
      </w:pPr>
      <w:r w:rsidRPr="007D758F">
        <w:rPr>
          <w:i/>
          <w:sz w:val="22"/>
          <w:szCs w:val="22"/>
          <w:lang w:val="ka-GE"/>
        </w:rPr>
        <w:t xml:space="preserve">-იპოთეკური ობლიგაციების პროგრამასთან დაკავშირებით </w:t>
      </w:r>
      <w:r w:rsidR="000C34BF" w:rsidRPr="007D758F">
        <w:rPr>
          <w:i/>
          <w:sz w:val="22"/>
          <w:szCs w:val="22"/>
          <w:lang w:val="ka-GE"/>
        </w:rPr>
        <w:t>კომერციული ბანკის</w:t>
      </w:r>
      <w:r w:rsidRPr="007D758F">
        <w:rPr>
          <w:i/>
          <w:sz w:val="22"/>
          <w:szCs w:val="22"/>
          <w:lang w:val="ka-GE"/>
        </w:rPr>
        <w:t xml:space="preserve"> მიერ დაგეგმილი და განსახორციელებელი ღონისძიებები უზრუნველყოფს იპოთეკური ობლიგაციების პროგრამის შესაბამისობას „იპოთეკით დაცული ობლიგაციების შესახებ“ საქართველოს კანონისა და მის საფუძველზე გამოცემული კანონქვემდებარე ნორმატიული აქტების მოთხოვნებთან.</w:t>
      </w:r>
    </w:p>
    <w:p w14:paraId="1161A442" w14:textId="77777777" w:rsidR="0074322D" w:rsidRPr="007D758F" w:rsidRDefault="0074322D" w:rsidP="007D758F">
      <w:pPr>
        <w:spacing w:after="80"/>
        <w:ind w:left="142"/>
        <w:jc w:val="both"/>
        <w:rPr>
          <w:sz w:val="22"/>
          <w:szCs w:val="22"/>
        </w:rPr>
      </w:pPr>
    </w:p>
    <w:p w14:paraId="69E7327E" w14:textId="5082326B" w:rsidR="0074322D" w:rsidRPr="007D758F" w:rsidRDefault="000C34BF" w:rsidP="007D758F">
      <w:pPr>
        <w:spacing w:after="80"/>
        <w:ind w:left="142"/>
        <w:jc w:val="both"/>
        <w:rPr>
          <w:sz w:val="22"/>
          <w:szCs w:val="22"/>
        </w:rPr>
      </w:pPr>
      <w:r w:rsidRPr="007D758F">
        <w:rPr>
          <w:sz w:val="22"/>
          <w:szCs w:val="22"/>
          <w:lang w:val="ka-GE"/>
        </w:rPr>
        <w:t>კომერციული ბანკის</w:t>
      </w:r>
      <w:r w:rsidR="0074322D" w:rsidRPr="007D758F">
        <w:rPr>
          <w:sz w:val="22"/>
          <w:szCs w:val="22"/>
          <w:lang w:val="ka-GE"/>
        </w:rPr>
        <w:t xml:space="preserve"> სახელწოდება</w:t>
      </w:r>
    </w:p>
    <w:p w14:paraId="658906A7" w14:textId="77777777" w:rsidR="0074322D" w:rsidRPr="007D758F" w:rsidRDefault="0074322D" w:rsidP="007D758F">
      <w:pPr>
        <w:spacing w:after="80"/>
        <w:ind w:left="142"/>
        <w:jc w:val="both"/>
        <w:rPr>
          <w:sz w:val="22"/>
          <w:szCs w:val="22"/>
        </w:rPr>
      </w:pPr>
      <w:r w:rsidRPr="007D758F">
        <w:rPr>
          <w:sz w:val="22"/>
          <w:szCs w:val="22"/>
          <w:lang w:val="ka-GE"/>
        </w:rPr>
        <w:t xml:space="preserve">ხელმოწერა </w:t>
      </w:r>
    </w:p>
    <w:p w14:paraId="54D130AC" w14:textId="77777777" w:rsidR="0074322D" w:rsidRPr="007D758F" w:rsidRDefault="0074322D" w:rsidP="007D758F">
      <w:pPr>
        <w:spacing w:after="80"/>
        <w:ind w:left="142"/>
        <w:jc w:val="both"/>
        <w:rPr>
          <w:sz w:val="22"/>
          <w:szCs w:val="22"/>
        </w:rPr>
      </w:pPr>
      <w:r w:rsidRPr="007D758F">
        <w:rPr>
          <w:sz w:val="22"/>
          <w:szCs w:val="22"/>
          <w:lang w:val="ka-GE"/>
        </w:rPr>
        <w:t>ხელმომწერი პირის სახელი, გვარი</w:t>
      </w:r>
      <w:r w:rsidRPr="007D758F">
        <w:rPr>
          <w:sz w:val="22"/>
          <w:szCs w:val="22"/>
        </w:rPr>
        <w:t xml:space="preserve"> </w:t>
      </w:r>
    </w:p>
    <w:p w14:paraId="784527EC" w14:textId="77777777" w:rsidR="0074322D" w:rsidRPr="007D758F" w:rsidRDefault="0074322D" w:rsidP="007D758F">
      <w:pPr>
        <w:spacing w:after="80"/>
        <w:ind w:left="142"/>
        <w:jc w:val="both"/>
        <w:rPr>
          <w:sz w:val="22"/>
          <w:szCs w:val="22"/>
        </w:rPr>
      </w:pPr>
      <w:r w:rsidRPr="007D758F">
        <w:rPr>
          <w:sz w:val="22"/>
          <w:szCs w:val="22"/>
          <w:lang w:val="ka-GE"/>
        </w:rPr>
        <w:lastRenderedPageBreak/>
        <w:t xml:space="preserve">ხელმომწერი პირის თანამდებობა </w:t>
      </w:r>
    </w:p>
    <w:p w14:paraId="10198917" w14:textId="77777777" w:rsidR="0074322D" w:rsidRPr="007D758F" w:rsidRDefault="0074322D" w:rsidP="007D758F">
      <w:pPr>
        <w:spacing w:after="80"/>
        <w:ind w:left="142"/>
        <w:jc w:val="both"/>
        <w:rPr>
          <w:sz w:val="22"/>
          <w:szCs w:val="22"/>
          <w:lang w:val="ka-GE"/>
        </w:rPr>
      </w:pPr>
      <w:r w:rsidRPr="007D758F">
        <w:rPr>
          <w:sz w:val="22"/>
          <w:szCs w:val="22"/>
        </w:rPr>
        <w:t>თარიღი</w:t>
      </w:r>
    </w:p>
    <w:p w14:paraId="3EACF0AD" w14:textId="77777777" w:rsidR="0074322D" w:rsidRPr="007D758F" w:rsidRDefault="0074322D" w:rsidP="0074322D">
      <w:pPr>
        <w:rPr>
          <w:sz w:val="22"/>
          <w:szCs w:val="22"/>
        </w:rPr>
      </w:pPr>
    </w:p>
    <w:p w14:paraId="64A871F2" w14:textId="67A248B3" w:rsidR="0074322D" w:rsidRPr="007D758F" w:rsidRDefault="0074322D" w:rsidP="007D758F">
      <w:pPr>
        <w:ind w:left="142"/>
        <w:jc w:val="both"/>
        <w:rPr>
          <w:b/>
          <w:sz w:val="22"/>
          <w:szCs w:val="22"/>
        </w:rPr>
      </w:pPr>
      <w:r w:rsidRPr="007D758F">
        <w:rPr>
          <w:b/>
          <w:sz w:val="22"/>
          <w:szCs w:val="22"/>
        </w:rPr>
        <w:t xml:space="preserve">დანართი </w:t>
      </w:r>
      <w:r w:rsidRPr="007D758F">
        <w:rPr>
          <w:b/>
          <w:sz w:val="22"/>
          <w:szCs w:val="22"/>
          <w:lang w:val="ka-GE"/>
        </w:rPr>
        <w:t>N</w:t>
      </w:r>
      <w:r w:rsidRPr="007D758F">
        <w:rPr>
          <w:b/>
          <w:sz w:val="22"/>
          <w:szCs w:val="22"/>
        </w:rPr>
        <w:t xml:space="preserve"> 2</w:t>
      </w:r>
    </w:p>
    <w:p w14:paraId="2D28426F" w14:textId="49EB5F8E" w:rsidR="0074322D" w:rsidRPr="007D758F" w:rsidRDefault="0074322D" w:rsidP="007D758F">
      <w:pPr>
        <w:ind w:left="142"/>
        <w:jc w:val="both"/>
        <w:rPr>
          <w:sz w:val="22"/>
          <w:szCs w:val="22"/>
        </w:rPr>
      </w:pPr>
      <w:r w:rsidRPr="007D758F">
        <w:rPr>
          <w:sz w:val="22"/>
          <w:szCs w:val="22"/>
          <w:lang w:val="ka-GE"/>
        </w:rPr>
        <w:t>1. იპოთეკური ობლიგაციების პროგრამის სახელწოდება</w:t>
      </w:r>
      <w:r w:rsidR="00140715">
        <w:rPr>
          <w:sz w:val="22"/>
          <w:szCs w:val="22"/>
          <w:lang w:val="ka-GE"/>
        </w:rPr>
        <w:t>.</w:t>
      </w:r>
    </w:p>
    <w:p w14:paraId="7C8956EA" w14:textId="77777777" w:rsidR="0074322D" w:rsidRPr="007D758F" w:rsidRDefault="0074322D" w:rsidP="007D758F">
      <w:pPr>
        <w:ind w:left="142"/>
        <w:jc w:val="both"/>
        <w:rPr>
          <w:sz w:val="22"/>
          <w:szCs w:val="22"/>
        </w:rPr>
      </w:pPr>
      <w:r w:rsidRPr="007D758F">
        <w:rPr>
          <w:sz w:val="22"/>
          <w:szCs w:val="22"/>
          <w:lang w:val="ka-GE"/>
        </w:rPr>
        <w:t>2. სამეთვალყურეო საბჭოს გადაწყვეტილება იპოთეკური ობლიგაციების პროგრამის განხორციელების თაობაზე</w:t>
      </w:r>
      <w:r w:rsidRPr="007D758F">
        <w:rPr>
          <w:sz w:val="22"/>
          <w:szCs w:val="22"/>
        </w:rPr>
        <w:t>;</w:t>
      </w:r>
    </w:p>
    <w:p w14:paraId="3BD850DC" w14:textId="39E07E2C" w:rsidR="0074322D" w:rsidRPr="007D758F" w:rsidRDefault="0074322D" w:rsidP="007D758F">
      <w:pPr>
        <w:ind w:left="142"/>
        <w:jc w:val="both"/>
        <w:rPr>
          <w:sz w:val="22"/>
          <w:szCs w:val="22"/>
        </w:rPr>
      </w:pPr>
      <w:r w:rsidRPr="007D758F">
        <w:rPr>
          <w:sz w:val="22"/>
          <w:szCs w:val="22"/>
          <w:lang w:val="ka-GE"/>
        </w:rPr>
        <w:t>3. ხელმძღვანელი ორგანოს/დირექტორის დასტურის წერილი თანდართული ფორმით</w:t>
      </w:r>
      <w:r w:rsidRPr="007D758F">
        <w:rPr>
          <w:sz w:val="22"/>
          <w:szCs w:val="22"/>
        </w:rPr>
        <w:t>;</w:t>
      </w:r>
    </w:p>
    <w:p w14:paraId="74A2D984" w14:textId="77777777" w:rsidR="0074322D" w:rsidRPr="007D758F" w:rsidRDefault="0074322D" w:rsidP="007D758F">
      <w:pPr>
        <w:ind w:left="142"/>
        <w:jc w:val="both"/>
        <w:rPr>
          <w:sz w:val="22"/>
          <w:szCs w:val="22"/>
        </w:rPr>
      </w:pPr>
      <w:r w:rsidRPr="007D758F">
        <w:rPr>
          <w:sz w:val="22"/>
          <w:szCs w:val="22"/>
          <w:lang w:val="ka-GE"/>
        </w:rPr>
        <w:t>4. იპოთეკური ობლიგაციების პროგრამის სტრუქტურის აღწერა, მათ შორის</w:t>
      </w:r>
      <w:r w:rsidRPr="007D758F">
        <w:rPr>
          <w:sz w:val="22"/>
          <w:szCs w:val="22"/>
        </w:rPr>
        <w:t>:</w:t>
      </w:r>
    </w:p>
    <w:p w14:paraId="267F95BD" w14:textId="77777777" w:rsidR="0074322D" w:rsidRPr="007D758F" w:rsidRDefault="0074322D" w:rsidP="007D758F">
      <w:pPr>
        <w:spacing w:after="80"/>
        <w:ind w:left="142"/>
        <w:jc w:val="both"/>
        <w:rPr>
          <w:sz w:val="22"/>
          <w:szCs w:val="22"/>
        </w:rPr>
      </w:pPr>
      <w:r w:rsidRPr="007D758F">
        <w:rPr>
          <w:sz w:val="22"/>
          <w:szCs w:val="22"/>
          <w:lang w:val="ka-GE"/>
        </w:rPr>
        <w:t xml:space="preserve">ა) უზრუნველყოფის აქტივების მაქსიმალური ხვედრითი წილი ემიტენტის მთლიან აქტივებში </w:t>
      </w:r>
      <w:r w:rsidRPr="007D758F">
        <w:rPr>
          <w:sz w:val="22"/>
          <w:szCs w:val="22"/>
        </w:rPr>
        <w:t>პროგრამის</w:t>
      </w:r>
      <w:r w:rsidRPr="007D758F">
        <w:rPr>
          <w:sz w:val="22"/>
          <w:szCs w:val="22"/>
          <w:lang w:val="ka-GE"/>
        </w:rPr>
        <w:t xml:space="preserve"> მოქმედების ნებისმიერ ეტაპზე</w:t>
      </w:r>
      <w:r w:rsidRPr="007D758F">
        <w:rPr>
          <w:sz w:val="22"/>
          <w:szCs w:val="22"/>
        </w:rPr>
        <w:t>;</w:t>
      </w:r>
    </w:p>
    <w:p w14:paraId="26283C5B" w14:textId="77777777" w:rsidR="00CF1E0D" w:rsidRDefault="0074322D" w:rsidP="007D758F">
      <w:pPr>
        <w:spacing w:after="80"/>
        <w:ind w:left="142"/>
        <w:jc w:val="both"/>
        <w:rPr>
          <w:sz w:val="22"/>
          <w:szCs w:val="22"/>
        </w:rPr>
      </w:pPr>
      <w:r w:rsidRPr="007D758F">
        <w:rPr>
          <w:sz w:val="22"/>
          <w:szCs w:val="22"/>
          <w:lang w:val="ka-GE"/>
        </w:rPr>
        <w:t>ბ) უზრუნველყოფის აქტივების ტიპი/სახეობა, ვალუტა (ვალუტები)</w:t>
      </w:r>
      <w:r w:rsidR="00CF1E0D">
        <w:rPr>
          <w:sz w:val="22"/>
          <w:szCs w:val="22"/>
        </w:rPr>
        <w:t>;</w:t>
      </w:r>
    </w:p>
    <w:p w14:paraId="07A04603" w14:textId="745530DA" w:rsidR="0074322D" w:rsidRPr="00E60F01" w:rsidRDefault="00CF1E0D" w:rsidP="007D758F">
      <w:pPr>
        <w:spacing w:after="80"/>
        <w:ind w:left="142"/>
        <w:jc w:val="both"/>
        <w:rPr>
          <w:sz w:val="22"/>
          <w:szCs w:val="22"/>
          <w:lang w:val="ka-GE"/>
        </w:rPr>
      </w:pPr>
      <w:r>
        <w:rPr>
          <w:sz w:val="22"/>
          <w:szCs w:val="22"/>
          <w:lang w:val="ka-GE"/>
        </w:rPr>
        <w:t>გ)</w:t>
      </w:r>
      <w:r w:rsidR="003F1412">
        <w:rPr>
          <w:sz w:val="22"/>
          <w:szCs w:val="22"/>
        </w:rPr>
        <w:t xml:space="preserve"> </w:t>
      </w:r>
      <w:r>
        <w:rPr>
          <w:sz w:val="22"/>
          <w:szCs w:val="22"/>
          <w:lang w:val="ka-GE"/>
        </w:rPr>
        <w:t xml:space="preserve">მცირე და საშუალო საწარმოების </w:t>
      </w:r>
      <w:r>
        <w:rPr>
          <w:sz w:val="22"/>
          <w:szCs w:val="22"/>
        </w:rPr>
        <w:t>(SME)</w:t>
      </w:r>
      <w:r>
        <w:rPr>
          <w:sz w:val="22"/>
          <w:szCs w:val="22"/>
          <w:lang w:val="ka-GE"/>
        </w:rPr>
        <w:t xml:space="preserve"> სესხებისა და</w:t>
      </w:r>
      <w:r>
        <w:rPr>
          <w:sz w:val="22"/>
          <w:szCs w:val="22"/>
        </w:rPr>
        <w:t xml:space="preserve"> </w:t>
      </w:r>
      <w:r>
        <w:rPr>
          <w:sz w:val="22"/>
          <w:szCs w:val="22"/>
          <w:lang w:val="ka-GE"/>
        </w:rPr>
        <w:t>კორპორაციული სესხების მაქსიმალური ხვედრითი წილი (</w:t>
      </w:r>
      <w:r w:rsidR="00581F8A">
        <w:rPr>
          <w:sz w:val="22"/>
          <w:szCs w:val="22"/>
          <w:lang w:val="ka-GE"/>
        </w:rPr>
        <w:t xml:space="preserve">მითითებული უნდა იქნეს </w:t>
      </w:r>
      <w:r>
        <w:rPr>
          <w:sz w:val="22"/>
          <w:szCs w:val="22"/>
          <w:lang w:val="ka-GE"/>
        </w:rPr>
        <w:t xml:space="preserve">ცალ-ცალკე) უზრუნველყოფის აქტივების გაერთიანებაში, უზრუნველყოფის აქტივებად </w:t>
      </w:r>
      <w:r w:rsidR="00581F8A">
        <w:rPr>
          <w:sz w:val="22"/>
          <w:szCs w:val="22"/>
          <w:lang w:val="ka-GE"/>
        </w:rPr>
        <w:t>ასეთი</w:t>
      </w:r>
      <w:r w:rsidR="00072928">
        <w:rPr>
          <w:sz w:val="22"/>
          <w:szCs w:val="22"/>
          <w:lang w:val="ka-GE"/>
        </w:rPr>
        <w:t xml:space="preserve"> სესხების გამოყენების შემთხვევაში;</w:t>
      </w:r>
    </w:p>
    <w:p w14:paraId="2AAA861B" w14:textId="0340175B" w:rsidR="0074322D" w:rsidRPr="007D758F" w:rsidRDefault="00CF1E0D" w:rsidP="007D758F">
      <w:pPr>
        <w:spacing w:after="80"/>
        <w:ind w:left="142"/>
        <w:jc w:val="both"/>
        <w:rPr>
          <w:sz w:val="22"/>
          <w:szCs w:val="22"/>
          <w:lang w:val="ka-GE"/>
        </w:rPr>
      </w:pPr>
      <w:r>
        <w:rPr>
          <w:sz w:val="22"/>
          <w:szCs w:val="22"/>
          <w:lang w:val="ka-GE"/>
        </w:rPr>
        <w:t>დ</w:t>
      </w:r>
      <w:r w:rsidR="0074322D" w:rsidRPr="007D758F">
        <w:rPr>
          <w:sz w:val="22"/>
          <w:szCs w:val="22"/>
          <w:lang w:val="ka-GE"/>
        </w:rPr>
        <w:t>)</w:t>
      </w:r>
      <w:r w:rsidR="0074322D" w:rsidRPr="007D758F">
        <w:rPr>
          <w:b/>
          <w:sz w:val="22"/>
          <w:szCs w:val="22"/>
          <w:lang w:val="ka-GE"/>
        </w:rPr>
        <w:t xml:space="preserve"> </w:t>
      </w:r>
      <w:r w:rsidR="0074322D" w:rsidRPr="007D758F">
        <w:rPr>
          <w:sz w:val="22"/>
          <w:szCs w:val="22"/>
          <w:lang w:val="ka-GE"/>
        </w:rPr>
        <w:t xml:space="preserve">იპოთეკური ობლიგაციების თაობაზე შემდეგი ინფორმაცია: </w:t>
      </w:r>
    </w:p>
    <w:p w14:paraId="6AE7894E" w14:textId="63A6E7BC" w:rsidR="0074322D" w:rsidRPr="007D758F" w:rsidRDefault="00477158" w:rsidP="007D758F">
      <w:pPr>
        <w:spacing w:after="80"/>
        <w:ind w:left="142"/>
        <w:jc w:val="both"/>
        <w:rPr>
          <w:sz w:val="22"/>
          <w:szCs w:val="22"/>
          <w:lang w:val="ka-GE"/>
        </w:rPr>
      </w:pPr>
      <w:r>
        <w:rPr>
          <w:sz w:val="22"/>
          <w:szCs w:val="22"/>
          <w:lang w:val="ka-GE"/>
        </w:rPr>
        <w:t>დ.ა</w:t>
      </w:r>
      <w:r w:rsidR="0074322D" w:rsidRPr="007D758F">
        <w:rPr>
          <w:sz w:val="22"/>
          <w:szCs w:val="22"/>
          <w:lang w:val="ka-GE"/>
        </w:rPr>
        <w:t xml:space="preserve">) პროგრამის მოქმედების </w:t>
      </w:r>
      <w:r>
        <w:rPr>
          <w:sz w:val="22"/>
          <w:szCs w:val="22"/>
          <w:lang w:val="ka-GE"/>
        </w:rPr>
        <w:t>განმავლობაში</w:t>
      </w:r>
      <w:r w:rsidR="0074322D" w:rsidRPr="007D758F">
        <w:rPr>
          <w:sz w:val="22"/>
          <w:szCs w:val="22"/>
          <w:lang w:val="ka-GE"/>
        </w:rPr>
        <w:t xml:space="preserve"> გამოსაშვები იპოთეკური ობლიგაციების მაქსიმალური ჯამური მოცულობა;</w:t>
      </w:r>
    </w:p>
    <w:p w14:paraId="4F8B6AD3" w14:textId="15150A8A" w:rsidR="0074322D" w:rsidRPr="007D758F" w:rsidRDefault="00477158" w:rsidP="007D758F">
      <w:pPr>
        <w:spacing w:after="80"/>
        <w:ind w:left="142"/>
        <w:jc w:val="both"/>
        <w:rPr>
          <w:sz w:val="22"/>
          <w:szCs w:val="22"/>
          <w:lang w:val="ka-GE"/>
        </w:rPr>
      </w:pPr>
      <w:r>
        <w:rPr>
          <w:sz w:val="22"/>
          <w:szCs w:val="22"/>
          <w:lang w:val="ka-GE"/>
        </w:rPr>
        <w:t>დ.ბ</w:t>
      </w:r>
      <w:r w:rsidR="0074322D" w:rsidRPr="007D758F">
        <w:rPr>
          <w:sz w:val="22"/>
          <w:szCs w:val="22"/>
          <w:lang w:val="ka-GE"/>
        </w:rPr>
        <w:t xml:space="preserve">) ვალუტა (ვალუტები); </w:t>
      </w:r>
    </w:p>
    <w:p w14:paraId="328DF34D" w14:textId="6342118B" w:rsidR="0074322D" w:rsidRPr="007D758F" w:rsidRDefault="00477158" w:rsidP="007D758F">
      <w:pPr>
        <w:spacing w:after="80"/>
        <w:ind w:left="142"/>
        <w:jc w:val="both"/>
        <w:rPr>
          <w:sz w:val="22"/>
          <w:szCs w:val="22"/>
          <w:lang w:val="ka-GE"/>
        </w:rPr>
      </w:pPr>
      <w:r>
        <w:rPr>
          <w:sz w:val="22"/>
          <w:szCs w:val="22"/>
          <w:lang w:val="ka-GE"/>
        </w:rPr>
        <w:t>დ.გ</w:t>
      </w:r>
      <w:r w:rsidR="0074322D" w:rsidRPr="007D758F">
        <w:rPr>
          <w:sz w:val="22"/>
          <w:szCs w:val="22"/>
          <w:lang w:val="ka-GE"/>
        </w:rPr>
        <w:t>) ვადიანობა;</w:t>
      </w:r>
    </w:p>
    <w:p w14:paraId="0ABB91DD" w14:textId="78A7F149" w:rsidR="0074322D" w:rsidRPr="007D758F" w:rsidRDefault="00477158" w:rsidP="007D758F">
      <w:pPr>
        <w:spacing w:after="80"/>
        <w:ind w:left="142"/>
        <w:jc w:val="both"/>
        <w:rPr>
          <w:sz w:val="22"/>
          <w:szCs w:val="22"/>
          <w:lang w:val="ka-GE"/>
        </w:rPr>
      </w:pPr>
      <w:r>
        <w:rPr>
          <w:sz w:val="22"/>
          <w:szCs w:val="22"/>
          <w:lang w:val="ka-GE"/>
        </w:rPr>
        <w:t>დ.დ</w:t>
      </w:r>
      <w:r w:rsidR="0074322D" w:rsidRPr="007D758F">
        <w:rPr>
          <w:sz w:val="22"/>
          <w:szCs w:val="22"/>
          <w:lang w:val="ka-GE"/>
        </w:rPr>
        <w:t xml:space="preserve">) საპროცენტო განაკვეთი: </w:t>
      </w:r>
    </w:p>
    <w:p w14:paraId="58D78A4C" w14:textId="4C77BA2D" w:rsidR="0074322D" w:rsidRPr="000C34BF" w:rsidRDefault="00477158" w:rsidP="00E60F01">
      <w:pPr>
        <w:pStyle w:val="ListParagraph"/>
        <w:spacing w:after="80"/>
        <w:ind w:left="142"/>
        <w:contextualSpacing w:val="0"/>
        <w:jc w:val="both"/>
        <w:rPr>
          <w:sz w:val="22"/>
          <w:szCs w:val="22"/>
        </w:rPr>
      </w:pPr>
      <w:r>
        <w:rPr>
          <w:sz w:val="22"/>
          <w:szCs w:val="22"/>
          <w:lang w:val="ka-GE"/>
        </w:rPr>
        <w:t xml:space="preserve">დ.დ.ა) </w:t>
      </w:r>
      <w:r w:rsidR="0074322D" w:rsidRPr="000C34BF">
        <w:rPr>
          <w:sz w:val="22"/>
          <w:szCs w:val="22"/>
          <w:lang w:val="ka-GE"/>
        </w:rPr>
        <w:t>ფიქსირებული;</w:t>
      </w:r>
    </w:p>
    <w:p w14:paraId="5FE17C98" w14:textId="3181901A" w:rsidR="0074322D" w:rsidRPr="000C34BF" w:rsidRDefault="00477158" w:rsidP="00E60F01">
      <w:pPr>
        <w:pStyle w:val="ListParagraph"/>
        <w:spacing w:after="80"/>
        <w:ind w:left="142"/>
        <w:contextualSpacing w:val="0"/>
        <w:jc w:val="both"/>
        <w:rPr>
          <w:sz w:val="22"/>
          <w:szCs w:val="22"/>
        </w:rPr>
      </w:pPr>
      <w:r>
        <w:rPr>
          <w:sz w:val="22"/>
          <w:szCs w:val="22"/>
          <w:lang w:val="ka-GE"/>
        </w:rPr>
        <w:t xml:space="preserve">დ.დ.ბ) </w:t>
      </w:r>
      <w:r w:rsidR="0074322D" w:rsidRPr="000C34BF">
        <w:rPr>
          <w:sz w:val="22"/>
          <w:szCs w:val="22"/>
          <w:lang w:val="ka-GE"/>
        </w:rPr>
        <w:t>ცვლადი</w:t>
      </w:r>
      <w:r w:rsidR="00140715">
        <w:rPr>
          <w:sz w:val="22"/>
          <w:szCs w:val="22"/>
          <w:lang w:val="ka-GE"/>
        </w:rPr>
        <w:t xml:space="preserve"> (</w:t>
      </w:r>
      <w:r w:rsidR="00140715" w:rsidRPr="000C34BF">
        <w:rPr>
          <w:sz w:val="22"/>
          <w:szCs w:val="22"/>
          <w:lang w:val="ka-GE"/>
        </w:rPr>
        <w:t>უნდა მიეთითოს აგრეთვე შესაბამისი ინდექსი</w:t>
      </w:r>
      <w:r w:rsidR="00140715">
        <w:rPr>
          <w:sz w:val="22"/>
          <w:szCs w:val="22"/>
          <w:lang w:val="ka-GE"/>
        </w:rPr>
        <w:t>)</w:t>
      </w:r>
      <w:r w:rsidR="0074322D" w:rsidRPr="000C34BF">
        <w:rPr>
          <w:sz w:val="22"/>
          <w:szCs w:val="22"/>
          <w:lang w:val="ka-GE"/>
        </w:rPr>
        <w:t xml:space="preserve">; </w:t>
      </w:r>
    </w:p>
    <w:p w14:paraId="6875BE24" w14:textId="335813A2" w:rsidR="0074322D" w:rsidRPr="000C34BF" w:rsidRDefault="00477158" w:rsidP="00E60F01">
      <w:pPr>
        <w:pStyle w:val="ListParagraph"/>
        <w:spacing w:after="80"/>
        <w:ind w:left="142"/>
        <w:contextualSpacing w:val="0"/>
        <w:jc w:val="both"/>
        <w:rPr>
          <w:sz w:val="22"/>
          <w:szCs w:val="22"/>
        </w:rPr>
      </w:pPr>
      <w:r>
        <w:rPr>
          <w:sz w:val="22"/>
          <w:szCs w:val="22"/>
          <w:lang w:val="ka-GE"/>
        </w:rPr>
        <w:t xml:space="preserve">დ.დ.გ) </w:t>
      </w:r>
      <w:r w:rsidR="0074322D" w:rsidRPr="000C34BF">
        <w:rPr>
          <w:sz w:val="22"/>
          <w:szCs w:val="22"/>
          <w:lang w:val="ka-GE"/>
        </w:rPr>
        <w:t xml:space="preserve">სხვა. </w:t>
      </w:r>
    </w:p>
    <w:p w14:paraId="5AE4CFB9" w14:textId="0F30272C" w:rsidR="0074322D" w:rsidRPr="007D758F" w:rsidRDefault="00477158" w:rsidP="007D758F">
      <w:pPr>
        <w:spacing w:after="80"/>
        <w:ind w:left="142"/>
        <w:jc w:val="both"/>
        <w:rPr>
          <w:sz w:val="22"/>
          <w:szCs w:val="22"/>
          <w:lang w:val="ka-GE"/>
        </w:rPr>
      </w:pPr>
      <w:r>
        <w:rPr>
          <w:sz w:val="22"/>
          <w:szCs w:val="22"/>
          <w:lang w:val="ka-GE"/>
        </w:rPr>
        <w:t>დ.ე</w:t>
      </w:r>
      <w:r w:rsidR="0074322D" w:rsidRPr="007D758F">
        <w:rPr>
          <w:sz w:val="22"/>
          <w:szCs w:val="22"/>
          <w:lang w:val="ka-GE"/>
        </w:rPr>
        <w:t>)</w:t>
      </w:r>
      <w:r w:rsidR="0074322D" w:rsidRPr="007D758F">
        <w:rPr>
          <w:sz w:val="22"/>
          <w:szCs w:val="22"/>
        </w:rPr>
        <w:t xml:space="preserve"> </w:t>
      </w:r>
      <w:r w:rsidR="0074322D" w:rsidRPr="007D758F">
        <w:rPr>
          <w:sz w:val="22"/>
          <w:szCs w:val="22"/>
          <w:lang w:val="ka-GE"/>
        </w:rPr>
        <w:t>ძირითადი თანხის გადახდის სტრუქტურის აღწერა:</w:t>
      </w:r>
    </w:p>
    <w:p w14:paraId="1701C320" w14:textId="18C92BD6" w:rsidR="0074322D" w:rsidRPr="000C34BF" w:rsidRDefault="00140715" w:rsidP="00E60F01">
      <w:pPr>
        <w:pStyle w:val="ListParagraph"/>
        <w:spacing w:after="80"/>
        <w:ind w:left="142"/>
        <w:contextualSpacing w:val="0"/>
        <w:jc w:val="both"/>
        <w:rPr>
          <w:color w:val="000000" w:themeColor="text1"/>
          <w:sz w:val="22"/>
          <w:szCs w:val="22"/>
          <w:lang w:val="ka-GE"/>
        </w:rPr>
      </w:pPr>
      <w:r>
        <w:rPr>
          <w:color w:val="000000" w:themeColor="text1"/>
          <w:sz w:val="22"/>
          <w:szCs w:val="22"/>
          <w:lang w:val="ka-GE"/>
        </w:rPr>
        <w:t xml:space="preserve">დ.ე.ა) </w:t>
      </w:r>
      <w:r w:rsidR="0074322D" w:rsidRPr="000C34BF">
        <w:rPr>
          <w:color w:val="000000" w:themeColor="text1"/>
          <w:sz w:val="22"/>
          <w:szCs w:val="22"/>
          <w:lang w:val="ka-GE"/>
        </w:rPr>
        <w:t xml:space="preserve">გათვალისწინებულია ძირითადი თანხის სრულად დაფარვა იპოთეკური ობლიგაციის ვადის ამოწურვისას, ძირითადი თანხის დაფარვის თარიღის გადაწევის საემისიო პირობის გარეშე; </w:t>
      </w:r>
    </w:p>
    <w:p w14:paraId="39A77113" w14:textId="0E7979AB" w:rsidR="0074322D" w:rsidRPr="000C34BF" w:rsidRDefault="00140715" w:rsidP="00E60F01">
      <w:pPr>
        <w:pStyle w:val="ListParagraph"/>
        <w:spacing w:after="80"/>
        <w:ind w:left="142"/>
        <w:contextualSpacing w:val="0"/>
        <w:jc w:val="both"/>
        <w:rPr>
          <w:color w:val="000000" w:themeColor="text1"/>
          <w:sz w:val="22"/>
          <w:szCs w:val="22"/>
          <w:lang w:val="ka-GE"/>
        </w:rPr>
      </w:pPr>
      <w:r>
        <w:rPr>
          <w:color w:val="000000" w:themeColor="text1"/>
          <w:sz w:val="22"/>
          <w:szCs w:val="22"/>
          <w:lang w:val="ka-GE"/>
        </w:rPr>
        <w:t xml:space="preserve">დ.ე.ბ) </w:t>
      </w:r>
      <w:r w:rsidR="0074322D" w:rsidRPr="000C34BF">
        <w:rPr>
          <w:color w:val="000000" w:themeColor="text1"/>
          <w:sz w:val="22"/>
          <w:szCs w:val="22"/>
          <w:lang w:val="ka-GE"/>
        </w:rPr>
        <w:t>გათვალისწინებულია ძირითადი თანხის სრულად დაფარვა იპოთეკური ობლიგაციის ვადის ამოწურვისას, მაგრამ ძირითადი თანხის დაფარვის თარიღის არაუმეტეს ერთი წლით გადაწევის საემისიო პირობით;</w:t>
      </w:r>
    </w:p>
    <w:p w14:paraId="67A9C68F" w14:textId="455B732A" w:rsidR="0074322D" w:rsidRPr="000C34BF" w:rsidRDefault="00140715" w:rsidP="00E60F01">
      <w:pPr>
        <w:pStyle w:val="ListParagraph"/>
        <w:spacing w:after="80"/>
        <w:ind w:left="142"/>
        <w:contextualSpacing w:val="0"/>
        <w:jc w:val="both"/>
        <w:rPr>
          <w:color w:val="000000" w:themeColor="text1"/>
          <w:sz w:val="22"/>
          <w:szCs w:val="22"/>
          <w:lang w:val="ka-GE"/>
        </w:rPr>
      </w:pPr>
      <w:r>
        <w:rPr>
          <w:color w:val="000000" w:themeColor="text1"/>
          <w:sz w:val="22"/>
          <w:szCs w:val="22"/>
          <w:lang w:val="ka-GE"/>
        </w:rPr>
        <w:t xml:space="preserve">დ.ე.გ) </w:t>
      </w:r>
      <w:r w:rsidR="0074322D" w:rsidRPr="000C34BF">
        <w:rPr>
          <w:color w:val="000000" w:themeColor="text1"/>
          <w:sz w:val="22"/>
          <w:szCs w:val="22"/>
          <w:lang w:val="ka-GE"/>
        </w:rPr>
        <w:t xml:space="preserve">გათვალისწინებულია ძირითადი თანხის დაფარვის სტრუქტურის ცვლილება (მათ შორის, ძირითადი თანხის დაფარვის თარიღის გადაწევა ერთ წელზე მეტი ვადით) </w:t>
      </w:r>
      <w:r w:rsidR="0074322D" w:rsidRPr="000C34BF">
        <w:rPr>
          <w:color w:val="000000" w:themeColor="text1"/>
          <w:sz w:val="22"/>
          <w:szCs w:val="22"/>
          <w:lang w:val="ka-GE"/>
        </w:rPr>
        <w:lastRenderedPageBreak/>
        <w:t>იპოთეკური ობლიგაციების პროგრამის განცალკევების შემდეგ, თუ ემიტენტი ემისიის პირობებით დადგენილ სტანდარტულ ვადაში არ იხდის ძირითად თანხას</w:t>
      </w:r>
      <w:r w:rsidR="00C05444">
        <w:rPr>
          <w:color w:val="000000" w:themeColor="text1"/>
          <w:sz w:val="22"/>
          <w:szCs w:val="22"/>
          <w:lang w:val="ka-GE"/>
        </w:rPr>
        <w:t>;</w:t>
      </w:r>
    </w:p>
    <w:p w14:paraId="773341EC" w14:textId="6F60429F" w:rsidR="0074322D" w:rsidRPr="000C34BF" w:rsidRDefault="00140715" w:rsidP="00E60F01">
      <w:pPr>
        <w:pStyle w:val="ListParagraph"/>
        <w:spacing w:after="80"/>
        <w:ind w:left="142"/>
        <w:contextualSpacing w:val="0"/>
        <w:jc w:val="both"/>
        <w:rPr>
          <w:color w:val="000000" w:themeColor="text1"/>
          <w:sz w:val="22"/>
          <w:szCs w:val="22"/>
          <w:lang w:val="ka-GE"/>
        </w:rPr>
      </w:pPr>
      <w:r>
        <w:rPr>
          <w:color w:val="000000" w:themeColor="text1"/>
          <w:sz w:val="22"/>
          <w:szCs w:val="22"/>
          <w:lang w:val="ka-GE"/>
        </w:rPr>
        <w:t xml:space="preserve">დ.ე.დ) </w:t>
      </w:r>
      <w:r w:rsidR="0074322D" w:rsidRPr="000C34BF">
        <w:rPr>
          <w:color w:val="000000" w:themeColor="text1"/>
          <w:sz w:val="22"/>
          <w:szCs w:val="22"/>
          <w:lang w:val="ka-GE"/>
        </w:rPr>
        <w:t>სხვა (მოცემული უნდა იყოს შესაბამისი აღწერა).</w:t>
      </w:r>
    </w:p>
    <w:p w14:paraId="0475031C" w14:textId="605DE43A" w:rsidR="0074322D" w:rsidRPr="007D758F" w:rsidRDefault="0074322D" w:rsidP="007D758F">
      <w:pPr>
        <w:ind w:left="142"/>
        <w:jc w:val="both"/>
        <w:rPr>
          <w:sz w:val="22"/>
          <w:szCs w:val="22"/>
          <w:lang w:val="ka-GE"/>
        </w:rPr>
      </w:pPr>
      <w:r w:rsidRPr="007D758F">
        <w:rPr>
          <w:sz w:val="22"/>
          <w:szCs w:val="22"/>
          <w:lang w:val="ka-GE"/>
        </w:rPr>
        <w:t>5. აქტივის უზრუნველყოფის აქტივების გაერთიანებაში შეტანის (უზრუნველყოფის აქტივად გამოყენების) და უზრუნველყოფის აქტივების გაერთიანებიდან ამორიცხვის კრიტერიუმები და შესაბამისი გადაწყვეტილების მიღების პროცესი</w:t>
      </w:r>
      <w:r w:rsidR="00140715">
        <w:rPr>
          <w:sz w:val="22"/>
          <w:szCs w:val="22"/>
          <w:lang w:val="ka-GE"/>
        </w:rPr>
        <w:t>.</w:t>
      </w:r>
    </w:p>
    <w:p w14:paraId="1804ECC4" w14:textId="0D097A56" w:rsidR="0074322D" w:rsidRPr="007D758F" w:rsidRDefault="0074322D" w:rsidP="007D758F">
      <w:pPr>
        <w:ind w:left="142"/>
        <w:jc w:val="both"/>
        <w:rPr>
          <w:sz w:val="22"/>
          <w:szCs w:val="22"/>
          <w:lang w:val="ka-GE"/>
        </w:rPr>
      </w:pPr>
      <w:r w:rsidRPr="007D758F">
        <w:rPr>
          <w:sz w:val="22"/>
          <w:szCs w:val="22"/>
          <w:lang w:val="ka-GE"/>
        </w:rPr>
        <w:t>6. აქტივის უზრუნველყოფის აქტივების გაერთიანებაში შეტანის და უზრუნველყოფის აქტივების გაერთიანებიდან ამორიცხვის საოპერაციო პროცესი</w:t>
      </w:r>
      <w:r w:rsidR="00140715">
        <w:rPr>
          <w:sz w:val="22"/>
          <w:szCs w:val="22"/>
          <w:lang w:val="ka-GE"/>
        </w:rPr>
        <w:t>.</w:t>
      </w:r>
    </w:p>
    <w:p w14:paraId="0FFBD966" w14:textId="3FA6F2FC" w:rsidR="0074322D" w:rsidRPr="007D758F" w:rsidRDefault="0074322D" w:rsidP="007D758F">
      <w:pPr>
        <w:ind w:left="142"/>
        <w:jc w:val="both"/>
        <w:rPr>
          <w:sz w:val="22"/>
          <w:szCs w:val="22"/>
          <w:lang w:val="ka-GE"/>
        </w:rPr>
      </w:pPr>
      <w:r w:rsidRPr="007D758F">
        <w:rPr>
          <w:sz w:val="22"/>
          <w:szCs w:val="22"/>
          <w:lang w:val="ka-GE"/>
        </w:rPr>
        <w:t>7. ლიკვიდ</w:t>
      </w:r>
      <w:r w:rsidR="00776D9A">
        <w:rPr>
          <w:sz w:val="22"/>
          <w:szCs w:val="22"/>
        </w:rPr>
        <w:t>ურო</w:t>
      </w:r>
      <w:r w:rsidRPr="007D758F">
        <w:rPr>
          <w:sz w:val="22"/>
          <w:szCs w:val="22"/>
          <w:lang w:val="ka-GE"/>
        </w:rPr>
        <w:t>ბის მოთხოვნების დაკმაყოფილების საოპერაციო პროცესი</w:t>
      </w:r>
      <w:r w:rsidR="00140715">
        <w:rPr>
          <w:sz w:val="22"/>
          <w:szCs w:val="22"/>
          <w:lang w:val="ka-GE"/>
        </w:rPr>
        <w:t>.</w:t>
      </w:r>
    </w:p>
    <w:p w14:paraId="4BCFC864" w14:textId="246691B2" w:rsidR="0074322D" w:rsidRPr="007D758F" w:rsidRDefault="0074322D" w:rsidP="007D758F">
      <w:pPr>
        <w:ind w:left="142"/>
        <w:jc w:val="both"/>
        <w:rPr>
          <w:sz w:val="22"/>
          <w:szCs w:val="22"/>
          <w:lang w:val="ka-GE"/>
        </w:rPr>
      </w:pPr>
      <w:r w:rsidRPr="007D758F">
        <w:rPr>
          <w:sz w:val="22"/>
          <w:szCs w:val="22"/>
          <w:lang w:val="ka-GE"/>
        </w:rPr>
        <w:t xml:space="preserve">8. არსებობის შემთხვევაში, შესაბამისი ტესტები (მაგ., ვალდებულებათა უზრუნველყოფის, </w:t>
      </w:r>
      <w:r w:rsidR="007D758F">
        <w:rPr>
          <w:sz w:val="22"/>
          <w:szCs w:val="22"/>
          <w:lang w:val="ka-GE"/>
        </w:rPr>
        <w:t xml:space="preserve">ლიკვიდურობის, </w:t>
      </w:r>
      <w:r w:rsidRPr="007D758F">
        <w:rPr>
          <w:sz w:val="22"/>
          <w:szCs w:val="22"/>
          <w:lang w:val="ka-GE"/>
        </w:rPr>
        <w:t>საპროცენტო განაკვეთის, გაცვლითი კურსის</w:t>
      </w:r>
      <w:r w:rsidR="007D758F">
        <w:rPr>
          <w:sz w:val="22"/>
          <w:szCs w:val="22"/>
          <w:lang w:val="ka-GE"/>
        </w:rPr>
        <w:t xml:space="preserve"> ტესტები, </w:t>
      </w:r>
      <w:r w:rsidRPr="007D758F">
        <w:rPr>
          <w:sz w:val="22"/>
          <w:szCs w:val="22"/>
          <w:lang w:val="ka-GE"/>
        </w:rPr>
        <w:t>სტრეს ტესტები) რომლებიც ჩატარდება იპოთეკური ობლიგაციების პროგრამის მიმართ, მათ შორის:</w:t>
      </w:r>
    </w:p>
    <w:p w14:paraId="7D476FDA" w14:textId="77777777" w:rsidR="0074322D" w:rsidRPr="007D758F" w:rsidRDefault="0074322D" w:rsidP="007D758F">
      <w:pPr>
        <w:ind w:left="142"/>
        <w:jc w:val="both"/>
        <w:rPr>
          <w:sz w:val="22"/>
          <w:szCs w:val="22"/>
          <w:lang w:val="ka-GE"/>
        </w:rPr>
      </w:pPr>
      <w:r w:rsidRPr="007D758F">
        <w:rPr>
          <w:sz w:val="22"/>
          <w:szCs w:val="22"/>
          <w:lang w:val="ka-GE"/>
        </w:rPr>
        <w:t>ა) ვინ ჩაატარებს და შეამოწმებს აღნიშნულ ტესტებს</w:t>
      </w:r>
      <w:r w:rsidRPr="007D758F">
        <w:rPr>
          <w:sz w:val="22"/>
          <w:szCs w:val="22"/>
        </w:rPr>
        <w:t>;</w:t>
      </w:r>
    </w:p>
    <w:p w14:paraId="389B01FF" w14:textId="77777777" w:rsidR="0074322D" w:rsidRPr="007D758F" w:rsidRDefault="0074322D" w:rsidP="007D758F">
      <w:pPr>
        <w:ind w:left="142"/>
        <w:jc w:val="both"/>
        <w:rPr>
          <w:sz w:val="22"/>
          <w:szCs w:val="22"/>
          <w:lang w:val="ka-GE"/>
        </w:rPr>
      </w:pPr>
      <w:r w:rsidRPr="007D758F">
        <w:rPr>
          <w:sz w:val="22"/>
          <w:szCs w:val="22"/>
          <w:lang w:val="ka-GE"/>
        </w:rPr>
        <w:t>ბ) როგორ იქნება გამოყენებული ტესტის ჩატარების საფუძველზე მიღებული ინფორმაცია;</w:t>
      </w:r>
    </w:p>
    <w:p w14:paraId="2DA85A98" w14:textId="77777777" w:rsidR="0074322D" w:rsidRPr="007D758F" w:rsidRDefault="0074322D" w:rsidP="007D758F">
      <w:pPr>
        <w:ind w:left="142"/>
        <w:jc w:val="both"/>
        <w:rPr>
          <w:sz w:val="22"/>
          <w:szCs w:val="22"/>
          <w:lang w:val="ka-GE"/>
        </w:rPr>
      </w:pPr>
      <w:r w:rsidRPr="007D758F">
        <w:rPr>
          <w:sz w:val="22"/>
          <w:szCs w:val="22"/>
          <w:lang w:val="ka-GE"/>
        </w:rPr>
        <w:t>გ) როგორ განხორციელდება ტესტის დარღვევის ესკალაცია;</w:t>
      </w:r>
    </w:p>
    <w:p w14:paraId="2EA85395" w14:textId="77777777" w:rsidR="0074322D" w:rsidRPr="007D758F" w:rsidRDefault="0074322D" w:rsidP="007D758F">
      <w:pPr>
        <w:ind w:left="142"/>
        <w:jc w:val="both"/>
        <w:rPr>
          <w:sz w:val="22"/>
          <w:szCs w:val="22"/>
          <w:lang w:val="ka-GE"/>
        </w:rPr>
      </w:pPr>
      <w:r w:rsidRPr="007D758F">
        <w:rPr>
          <w:sz w:val="22"/>
          <w:szCs w:val="22"/>
          <w:lang w:val="ka-GE"/>
        </w:rPr>
        <w:t>დ) რა სახელშეკრულებო შედეგები მოჰყვება ტესტის დარღვევას</w:t>
      </w:r>
      <w:r w:rsidRPr="007D758F">
        <w:rPr>
          <w:sz w:val="22"/>
          <w:szCs w:val="22"/>
        </w:rPr>
        <w:t>;</w:t>
      </w:r>
    </w:p>
    <w:p w14:paraId="0A9B5738" w14:textId="77777777" w:rsidR="0074322D" w:rsidRPr="007D758F" w:rsidRDefault="0074322D" w:rsidP="007D758F">
      <w:pPr>
        <w:ind w:left="142"/>
        <w:jc w:val="both"/>
        <w:rPr>
          <w:sz w:val="22"/>
          <w:szCs w:val="22"/>
          <w:lang w:val="ka-GE"/>
        </w:rPr>
      </w:pPr>
      <w:r w:rsidRPr="007D758F">
        <w:rPr>
          <w:sz w:val="22"/>
          <w:szCs w:val="22"/>
          <w:lang w:val="ka-GE"/>
        </w:rPr>
        <w:t>ე) რა სახელშეკრულებო შედეგები მოჰყვება ტესტის დარღვევაზე რეაგირების დროულად განუხორციელებლობას</w:t>
      </w:r>
      <w:r w:rsidRPr="007D758F">
        <w:rPr>
          <w:sz w:val="22"/>
          <w:szCs w:val="22"/>
        </w:rPr>
        <w:t>.</w:t>
      </w:r>
    </w:p>
    <w:p w14:paraId="046DBBE4" w14:textId="46A7C85D" w:rsidR="0074322D" w:rsidRPr="007D758F" w:rsidRDefault="0074322D" w:rsidP="007D758F">
      <w:pPr>
        <w:ind w:left="142"/>
        <w:jc w:val="both"/>
        <w:rPr>
          <w:sz w:val="22"/>
          <w:szCs w:val="22"/>
        </w:rPr>
      </w:pPr>
      <w:r w:rsidRPr="007D758F">
        <w:rPr>
          <w:sz w:val="22"/>
          <w:szCs w:val="22"/>
          <w:lang w:val="ka-GE"/>
        </w:rPr>
        <w:t>9. უზრუნველყოფის აქტივების ზედამხედველი და მისი ძირითადი ვალდებულებები</w:t>
      </w:r>
      <w:r w:rsidR="007704FB">
        <w:rPr>
          <w:sz w:val="22"/>
          <w:szCs w:val="22"/>
          <w:lang w:val="ka-GE"/>
        </w:rPr>
        <w:t xml:space="preserve">, აგრეთვე </w:t>
      </w:r>
      <w:r w:rsidR="007704FB" w:rsidRPr="007D758F">
        <w:rPr>
          <w:sz w:val="22"/>
          <w:szCs w:val="22"/>
          <w:lang w:val="ka-GE"/>
        </w:rPr>
        <w:t>უზრუნველყოფის აქტივების ზედამხედველ</w:t>
      </w:r>
      <w:r w:rsidR="007704FB">
        <w:rPr>
          <w:sz w:val="22"/>
          <w:szCs w:val="22"/>
          <w:lang w:val="ka-GE"/>
        </w:rPr>
        <w:t>თან დადებული ხელშეკრულება ან ხელშეკრულების პროექტი</w:t>
      </w:r>
      <w:r w:rsidR="00140715">
        <w:rPr>
          <w:sz w:val="22"/>
          <w:szCs w:val="22"/>
          <w:lang w:val="ka-GE"/>
        </w:rPr>
        <w:t>.</w:t>
      </w:r>
    </w:p>
    <w:p w14:paraId="00CDC451" w14:textId="2DBE72FA" w:rsidR="0074322D" w:rsidRPr="007D758F" w:rsidRDefault="0074322D" w:rsidP="007D758F">
      <w:pPr>
        <w:ind w:left="142"/>
        <w:jc w:val="both"/>
        <w:rPr>
          <w:sz w:val="22"/>
          <w:szCs w:val="22"/>
        </w:rPr>
      </w:pPr>
      <w:r w:rsidRPr="007D758F">
        <w:rPr>
          <w:sz w:val="22"/>
          <w:szCs w:val="22"/>
          <w:lang w:val="ka-GE"/>
        </w:rPr>
        <w:t>10. ემიტენტის დეფოლტის ან რეზოლუციის დაწყების შემთხვევაში პროცესების მოკლე აღწერა</w:t>
      </w:r>
      <w:r w:rsidR="00140715">
        <w:rPr>
          <w:sz w:val="22"/>
          <w:szCs w:val="22"/>
          <w:lang w:val="ka-GE"/>
        </w:rPr>
        <w:t>.</w:t>
      </w:r>
    </w:p>
    <w:p w14:paraId="7B7D984A" w14:textId="0899F7D0" w:rsidR="007704FB" w:rsidRDefault="0074322D" w:rsidP="007D758F">
      <w:pPr>
        <w:ind w:left="142"/>
        <w:jc w:val="both"/>
        <w:rPr>
          <w:sz w:val="22"/>
          <w:szCs w:val="22"/>
          <w:lang w:val="ka-GE"/>
        </w:rPr>
      </w:pPr>
      <w:r w:rsidRPr="007D758F">
        <w:rPr>
          <w:sz w:val="22"/>
          <w:szCs w:val="22"/>
          <w:lang w:val="ka-GE"/>
        </w:rPr>
        <w:t>11. ემიტენტის დეფოლტის დადგომის საფუძვლები</w:t>
      </w:r>
      <w:r w:rsidR="00140715">
        <w:rPr>
          <w:sz w:val="22"/>
          <w:szCs w:val="22"/>
          <w:lang w:val="ka-GE"/>
        </w:rPr>
        <w:t>.</w:t>
      </w:r>
    </w:p>
    <w:p w14:paraId="6A2DB23C" w14:textId="7E4DAD78" w:rsidR="0074322D" w:rsidRPr="00E60F01" w:rsidRDefault="007704FB" w:rsidP="007704FB">
      <w:pPr>
        <w:ind w:left="142"/>
        <w:jc w:val="both"/>
        <w:rPr>
          <w:sz w:val="22"/>
          <w:szCs w:val="22"/>
          <w:lang w:val="ka-GE"/>
        </w:rPr>
      </w:pPr>
      <w:r>
        <w:rPr>
          <w:sz w:val="22"/>
          <w:szCs w:val="22"/>
          <w:lang w:val="ka-GE"/>
        </w:rPr>
        <w:t>12. ინფორმაცია პროგრამის ფარგლებში გამოშვებული</w:t>
      </w:r>
      <w:r w:rsidR="00CF1E0D">
        <w:rPr>
          <w:sz w:val="22"/>
          <w:szCs w:val="22"/>
          <w:lang w:val="ka-GE"/>
        </w:rPr>
        <w:t xml:space="preserve"> იპოთეკური ობლიგაციების</w:t>
      </w:r>
      <w:r>
        <w:rPr>
          <w:sz w:val="22"/>
          <w:szCs w:val="22"/>
          <w:lang w:val="ka-GE"/>
        </w:rPr>
        <w:t xml:space="preserve"> ეროვნული </w:t>
      </w:r>
      <w:r w:rsidR="00CF1E0D">
        <w:rPr>
          <w:sz w:val="22"/>
          <w:szCs w:val="22"/>
          <w:lang w:val="ka-GE"/>
        </w:rPr>
        <w:t>ბანკთან განხორციელებულ მონეტარულ</w:t>
      </w:r>
      <w:r w:rsidRPr="007704FB">
        <w:rPr>
          <w:sz w:val="22"/>
          <w:szCs w:val="22"/>
          <w:lang w:val="ka-GE"/>
        </w:rPr>
        <w:t xml:space="preserve"> </w:t>
      </w:r>
      <w:r w:rsidR="00CF1E0D">
        <w:rPr>
          <w:sz w:val="22"/>
          <w:szCs w:val="22"/>
          <w:lang w:val="ka-GE"/>
        </w:rPr>
        <w:t>ოპერაციებში</w:t>
      </w:r>
      <w:r w:rsidRPr="007704FB">
        <w:rPr>
          <w:sz w:val="22"/>
          <w:szCs w:val="22"/>
          <w:lang w:val="ka-GE"/>
        </w:rPr>
        <w:t xml:space="preserve"> უზრუნველყოფ</w:t>
      </w:r>
      <w:r w:rsidR="00CF1E0D">
        <w:rPr>
          <w:sz w:val="22"/>
          <w:szCs w:val="22"/>
          <w:lang w:val="ka-GE"/>
        </w:rPr>
        <w:t>ის სახით შესაძლო გამოყენების შესახებ</w:t>
      </w:r>
      <w:r>
        <w:rPr>
          <w:sz w:val="22"/>
          <w:szCs w:val="22"/>
          <w:lang w:val="ka-GE"/>
        </w:rPr>
        <w:t>.</w:t>
      </w:r>
    </w:p>
    <w:p w14:paraId="761BA167" w14:textId="77777777" w:rsidR="0074322D" w:rsidRPr="007D758F" w:rsidRDefault="0074322D" w:rsidP="007D758F">
      <w:pPr>
        <w:ind w:left="142"/>
        <w:jc w:val="both"/>
        <w:rPr>
          <w:sz w:val="22"/>
          <w:szCs w:val="22"/>
        </w:rPr>
      </w:pPr>
    </w:p>
    <w:p w14:paraId="1D0BE50E" w14:textId="245913F6" w:rsidR="0074322D" w:rsidRPr="007D758F" w:rsidRDefault="0074322D" w:rsidP="007D758F">
      <w:pPr>
        <w:ind w:left="142"/>
        <w:jc w:val="both"/>
        <w:rPr>
          <w:b/>
          <w:sz w:val="22"/>
          <w:szCs w:val="22"/>
        </w:rPr>
      </w:pPr>
      <w:r w:rsidRPr="007D758F">
        <w:rPr>
          <w:b/>
          <w:sz w:val="22"/>
          <w:szCs w:val="22"/>
          <w:lang w:val="ka-GE"/>
        </w:rPr>
        <w:t>ხელმძღვანელი ორგანოს/დირექტორის დასტური</w:t>
      </w:r>
    </w:p>
    <w:p w14:paraId="6C5F0EA5" w14:textId="77777777" w:rsidR="0074322D" w:rsidRPr="007D758F" w:rsidRDefault="0074322D" w:rsidP="007D758F">
      <w:pPr>
        <w:ind w:left="142"/>
        <w:jc w:val="both"/>
        <w:rPr>
          <w:sz w:val="22"/>
          <w:szCs w:val="22"/>
          <w:lang w:val="ka-GE"/>
        </w:rPr>
      </w:pPr>
      <w:r w:rsidRPr="007D758F">
        <w:rPr>
          <w:sz w:val="22"/>
          <w:szCs w:val="22"/>
          <w:lang w:val="ka-GE"/>
        </w:rPr>
        <w:t xml:space="preserve">ვადასტურებ, რომ: </w:t>
      </w:r>
    </w:p>
    <w:p w14:paraId="15C1B180" w14:textId="5402E3E4" w:rsidR="0074322D" w:rsidRPr="007D758F" w:rsidRDefault="0074322D" w:rsidP="007D758F">
      <w:pPr>
        <w:ind w:left="142"/>
        <w:jc w:val="both"/>
        <w:rPr>
          <w:i/>
          <w:sz w:val="22"/>
          <w:szCs w:val="22"/>
        </w:rPr>
      </w:pPr>
      <w:r w:rsidRPr="007D758F">
        <w:rPr>
          <w:i/>
          <w:sz w:val="22"/>
          <w:szCs w:val="22"/>
          <w:lang w:val="ka-GE"/>
        </w:rPr>
        <w:t xml:space="preserve">-წარმოდგენილი ინფორმაცია და დოკუმენტები არის სრული და შეესაბამება სინამდვილეს. </w:t>
      </w:r>
    </w:p>
    <w:p w14:paraId="42C34228" w14:textId="537C7482" w:rsidR="0074322D" w:rsidRPr="007D758F" w:rsidRDefault="0074322D" w:rsidP="007D758F">
      <w:pPr>
        <w:ind w:left="142"/>
        <w:jc w:val="both"/>
        <w:rPr>
          <w:i/>
          <w:sz w:val="22"/>
          <w:szCs w:val="22"/>
        </w:rPr>
      </w:pPr>
      <w:r w:rsidRPr="007D758F">
        <w:rPr>
          <w:i/>
          <w:sz w:val="22"/>
          <w:szCs w:val="22"/>
          <w:lang w:val="ka-GE"/>
        </w:rPr>
        <w:lastRenderedPageBreak/>
        <w:t>-საქართველოს ეროვნული ბანკის მიერ წინამდებარე განცხადების თაობაზე გადაწყვეტილების მიღებამდე, წარმოდგენილ ინფორმაციასთან/დოკუმენტებთან დაკავშირებული ნებისმიერი ცვლილების განხორციელების შემთხვევაში, დაუყოვნებლივ შევატყობინებ საქართველოს ეროვნულ ბანკს აღნიშნულის თაობაზე</w:t>
      </w:r>
      <w:r w:rsidRPr="007D758F">
        <w:rPr>
          <w:i/>
          <w:sz w:val="22"/>
          <w:szCs w:val="22"/>
        </w:rPr>
        <w:t xml:space="preserve">. </w:t>
      </w:r>
    </w:p>
    <w:p w14:paraId="57CDDD62" w14:textId="4D68AD6C" w:rsidR="0074322D" w:rsidRPr="007D758F" w:rsidRDefault="0074322D" w:rsidP="007D758F">
      <w:pPr>
        <w:ind w:left="142"/>
        <w:jc w:val="both"/>
        <w:rPr>
          <w:i/>
          <w:sz w:val="22"/>
          <w:szCs w:val="22"/>
        </w:rPr>
      </w:pPr>
      <w:r w:rsidRPr="007D758F">
        <w:rPr>
          <w:i/>
          <w:sz w:val="22"/>
          <w:szCs w:val="22"/>
          <w:lang w:val="ka-GE"/>
        </w:rPr>
        <w:t xml:space="preserve">-იპოთეკური ობლიგაციების პროგრამასთან დაკავშირებით </w:t>
      </w:r>
      <w:r w:rsidR="000C34BF" w:rsidRPr="007D758F">
        <w:rPr>
          <w:i/>
          <w:sz w:val="22"/>
          <w:szCs w:val="22"/>
          <w:lang w:val="ka-GE"/>
        </w:rPr>
        <w:t>კომერციული ბანკის</w:t>
      </w:r>
      <w:r w:rsidRPr="007D758F">
        <w:rPr>
          <w:i/>
          <w:sz w:val="22"/>
          <w:szCs w:val="22"/>
          <w:lang w:val="ka-GE"/>
        </w:rPr>
        <w:t xml:space="preserve"> მიერ დაგეგმილი და განსახორციელებელი ღონისძიებები უზრუნველყოფს იპოთეკური ობლიგაციების პროგრამის შესაბამისობას „იპოთეკით დაცული ობლიგაციების შესახებ“ საქართველოს კანონისა და მის საფუძველზე გამოცემული კანონქვემდებარე ნორმატიული აქტების მოთხოვნებთან.</w:t>
      </w:r>
    </w:p>
    <w:p w14:paraId="0FB2E52D" w14:textId="77777777" w:rsidR="0074322D" w:rsidRPr="007D758F" w:rsidRDefault="0074322D" w:rsidP="007D758F">
      <w:pPr>
        <w:ind w:left="142"/>
        <w:jc w:val="both"/>
        <w:rPr>
          <w:sz w:val="22"/>
          <w:szCs w:val="22"/>
        </w:rPr>
      </w:pPr>
    </w:p>
    <w:p w14:paraId="5D0EAA64" w14:textId="662B40F3" w:rsidR="0074322D" w:rsidRPr="007D758F" w:rsidRDefault="000C34BF" w:rsidP="007D758F">
      <w:pPr>
        <w:spacing w:after="80"/>
        <w:ind w:left="142"/>
        <w:jc w:val="both"/>
        <w:rPr>
          <w:sz w:val="22"/>
          <w:szCs w:val="22"/>
        </w:rPr>
      </w:pPr>
      <w:r w:rsidRPr="007D758F">
        <w:rPr>
          <w:sz w:val="22"/>
          <w:szCs w:val="22"/>
          <w:lang w:val="ka-GE"/>
        </w:rPr>
        <w:t>კომერციული ბანკის</w:t>
      </w:r>
      <w:r w:rsidR="0074322D" w:rsidRPr="007D758F">
        <w:rPr>
          <w:sz w:val="22"/>
          <w:szCs w:val="22"/>
          <w:lang w:val="ka-GE"/>
        </w:rPr>
        <w:t xml:space="preserve"> სახელწოდება</w:t>
      </w:r>
    </w:p>
    <w:p w14:paraId="50BCF280" w14:textId="77777777" w:rsidR="0074322D" w:rsidRPr="007D758F" w:rsidRDefault="0074322D" w:rsidP="007D758F">
      <w:pPr>
        <w:spacing w:after="80"/>
        <w:ind w:left="142"/>
        <w:jc w:val="both"/>
        <w:rPr>
          <w:sz w:val="22"/>
          <w:szCs w:val="22"/>
        </w:rPr>
      </w:pPr>
      <w:r w:rsidRPr="007D758F">
        <w:rPr>
          <w:sz w:val="22"/>
          <w:szCs w:val="22"/>
          <w:lang w:val="ka-GE"/>
        </w:rPr>
        <w:t xml:space="preserve">ხელმოწერა </w:t>
      </w:r>
    </w:p>
    <w:p w14:paraId="7BAFE633" w14:textId="77777777" w:rsidR="0074322D" w:rsidRPr="007D758F" w:rsidRDefault="0074322D" w:rsidP="007D758F">
      <w:pPr>
        <w:spacing w:after="80"/>
        <w:ind w:left="142"/>
        <w:jc w:val="both"/>
        <w:rPr>
          <w:sz w:val="22"/>
          <w:szCs w:val="22"/>
        </w:rPr>
      </w:pPr>
      <w:r w:rsidRPr="007D758F">
        <w:rPr>
          <w:sz w:val="22"/>
          <w:szCs w:val="22"/>
          <w:lang w:val="ka-GE"/>
        </w:rPr>
        <w:t>ხელმომწერი პირის სახელი, გვარი</w:t>
      </w:r>
      <w:r w:rsidRPr="007D758F">
        <w:rPr>
          <w:sz w:val="22"/>
          <w:szCs w:val="22"/>
        </w:rPr>
        <w:t xml:space="preserve"> </w:t>
      </w:r>
    </w:p>
    <w:p w14:paraId="261F1A3B" w14:textId="77777777" w:rsidR="0074322D" w:rsidRPr="007D758F" w:rsidRDefault="0074322D" w:rsidP="007D758F">
      <w:pPr>
        <w:spacing w:after="80"/>
        <w:ind w:left="142"/>
        <w:jc w:val="both"/>
        <w:rPr>
          <w:sz w:val="22"/>
          <w:szCs w:val="22"/>
        </w:rPr>
      </w:pPr>
      <w:r w:rsidRPr="007D758F">
        <w:rPr>
          <w:sz w:val="22"/>
          <w:szCs w:val="22"/>
          <w:lang w:val="ka-GE"/>
        </w:rPr>
        <w:t xml:space="preserve">ხელმომწერი პირის თანამდებობა </w:t>
      </w:r>
    </w:p>
    <w:p w14:paraId="123E0BE6" w14:textId="77777777" w:rsidR="0074322D" w:rsidRPr="007D758F" w:rsidRDefault="0074322D" w:rsidP="007D758F">
      <w:pPr>
        <w:spacing w:after="80"/>
        <w:ind w:left="142"/>
        <w:jc w:val="both"/>
        <w:rPr>
          <w:sz w:val="22"/>
          <w:szCs w:val="22"/>
          <w:lang w:val="ka-GE"/>
        </w:rPr>
      </w:pPr>
      <w:r w:rsidRPr="007D758F">
        <w:rPr>
          <w:sz w:val="22"/>
          <w:szCs w:val="22"/>
        </w:rPr>
        <w:t>თარიღი</w:t>
      </w:r>
    </w:p>
    <w:p w14:paraId="715B2E73" w14:textId="77777777" w:rsidR="0074322D" w:rsidRPr="00A8558E" w:rsidRDefault="0074322D" w:rsidP="007D758F">
      <w:pPr>
        <w:ind w:left="142"/>
        <w:jc w:val="both"/>
      </w:pPr>
    </w:p>
    <w:p w14:paraId="42380E40" w14:textId="77777777" w:rsidR="0038509A" w:rsidRDefault="0038509A" w:rsidP="007D758F">
      <w:pPr>
        <w:ind w:left="142"/>
      </w:pPr>
      <w:bookmarkStart w:id="1" w:name="DES50"/>
      <w:bookmarkStart w:id="2" w:name="DES51"/>
      <w:bookmarkEnd w:id="1"/>
      <w:bookmarkEnd w:id="2"/>
    </w:p>
    <w:sectPr w:rsidR="00385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575A" w14:textId="77777777" w:rsidR="003B6D7F" w:rsidRDefault="003B6D7F" w:rsidP="002102F7">
      <w:pPr>
        <w:spacing w:after="0" w:line="240" w:lineRule="auto"/>
      </w:pPr>
      <w:r>
        <w:separator/>
      </w:r>
    </w:p>
  </w:endnote>
  <w:endnote w:type="continuationSeparator" w:id="0">
    <w:p w14:paraId="530BF91F" w14:textId="77777777" w:rsidR="003B6D7F" w:rsidRDefault="003B6D7F" w:rsidP="0021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3BBF" w14:textId="77777777" w:rsidR="003B6D7F" w:rsidRDefault="003B6D7F" w:rsidP="002102F7">
      <w:pPr>
        <w:spacing w:after="0" w:line="240" w:lineRule="auto"/>
      </w:pPr>
      <w:r>
        <w:separator/>
      </w:r>
    </w:p>
  </w:footnote>
  <w:footnote w:type="continuationSeparator" w:id="0">
    <w:p w14:paraId="7B77CBE3" w14:textId="77777777" w:rsidR="003B6D7F" w:rsidRDefault="003B6D7F" w:rsidP="0021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98"/>
    <w:multiLevelType w:val="hybridMultilevel"/>
    <w:tmpl w:val="FB462F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A5DE9"/>
    <w:multiLevelType w:val="hybridMultilevel"/>
    <w:tmpl w:val="E6143B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D206E"/>
    <w:multiLevelType w:val="hybridMultilevel"/>
    <w:tmpl w:val="85A0ADC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9F5797"/>
    <w:multiLevelType w:val="hybridMultilevel"/>
    <w:tmpl w:val="A974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2088C"/>
    <w:multiLevelType w:val="hybridMultilevel"/>
    <w:tmpl w:val="01103B88"/>
    <w:lvl w:ilvl="0" w:tplc="0409001B">
      <w:start w:val="1"/>
      <w:numFmt w:val="lowerRoman"/>
      <w:lvlText w:val="%1."/>
      <w:lvlJc w:val="right"/>
      <w:pPr>
        <w:ind w:left="2204"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D5A"/>
    <w:multiLevelType w:val="hybridMultilevel"/>
    <w:tmpl w:val="636819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C5EA4"/>
    <w:multiLevelType w:val="hybridMultilevel"/>
    <w:tmpl w:val="AF84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90A06"/>
    <w:multiLevelType w:val="hybridMultilevel"/>
    <w:tmpl w:val="9490E2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7556F5"/>
    <w:multiLevelType w:val="multilevel"/>
    <w:tmpl w:val="BDA883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80135E"/>
    <w:multiLevelType w:val="hybridMultilevel"/>
    <w:tmpl w:val="9FE80EB8"/>
    <w:lvl w:ilvl="0" w:tplc="F000DA02">
      <w:start w:val="1"/>
      <w:numFmt w:val="lowerLetter"/>
      <w:lvlText w:val="c.%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9C6AC2"/>
    <w:multiLevelType w:val="hybridMultilevel"/>
    <w:tmpl w:val="CFC68690"/>
    <w:lvl w:ilvl="0" w:tplc="97F4E3CA">
      <w:start w:val="2"/>
      <w:numFmt w:val="lowerLetter"/>
      <w:lvlText w:val="c.%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B4B22"/>
    <w:multiLevelType w:val="hybridMultilevel"/>
    <w:tmpl w:val="1C5665D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E1171A"/>
    <w:multiLevelType w:val="hybridMultilevel"/>
    <w:tmpl w:val="024A3E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4066547"/>
    <w:multiLevelType w:val="hybridMultilevel"/>
    <w:tmpl w:val="21EA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35B4A"/>
    <w:multiLevelType w:val="hybridMultilevel"/>
    <w:tmpl w:val="B974171A"/>
    <w:lvl w:ilvl="0" w:tplc="04090017">
      <w:start w:val="1"/>
      <w:numFmt w:val="lowerLetter"/>
      <w:lvlText w:val="%1)"/>
      <w:lvlJc w:val="left"/>
      <w:pPr>
        <w:ind w:left="1211"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185BB7"/>
    <w:multiLevelType w:val="hybridMultilevel"/>
    <w:tmpl w:val="D3E817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255BAA"/>
    <w:multiLevelType w:val="hybridMultilevel"/>
    <w:tmpl w:val="9E7EF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5FA10C7"/>
    <w:multiLevelType w:val="hybridMultilevel"/>
    <w:tmpl w:val="37B6CE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9A52B5C2">
      <w:start w:val="1"/>
      <w:numFmt w:val="decimal"/>
      <w:lvlText w:val="%3."/>
      <w:lvlJc w:val="left"/>
      <w:pPr>
        <w:ind w:left="3060" w:hanging="360"/>
      </w:pPr>
      <w:rPr>
        <w:rFonts w:hint="default"/>
      </w:rPr>
    </w:lvl>
    <w:lvl w:ilvl="3" w:tplc="C80C258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CF7743"/>
    <w:multiLevelType w:val="hybridMultilevel"/>
    <w:tmpl w:val="189ED65E"/>
    <w:lvl w:ilvl="0" w:tplc="D5885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32C4C"/>
    <w:multiLevelType w:val="hybridMultilevel"/>
    <w:tmpl w:val="01624562"/>
    <w:lvl w:ilvl="0" w:tplc="332221DA">
      <w:start w:val="1"/>
      <w:numFmt w:val="decimal"/>
      <w:lvlText w:val="%1."/>
      <w:lvlJc w:val="left"/>
      <w:pPr>
        <w:ind w:left="720" w:hanging="360"/>
      </w:pPr>
      <w:rPr>
        <w:rFonts w:hint="default"/>
        <w:b w:val="0"/>
        <w:color w:val="auto"/>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90768B5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35CC6"/>
    <w:multiLevelType w:val="hybridMultilevel"/>
    <w:tmpl w:val="BA44444E"/>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827285"/>
    <w:multiLevelType w:val="multilevel"/>
    <w:tmpl w:val="BDA883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20"/>
  </w:num>
  <w:num w:numId="4">
    <w:abstractNumId w:val="17"/>
  </w:num>
  <w:num w:numId="5">
    <w:abstractNumId w:val="13"/>
  </w:num>
  <w:num w:numId="6">
    <w:abstractNumId w:val="5"/>
  </w:num>
  <w:num w:numId="7">
    <w:abstractNumId w:val="18"/>
  </w:num>
  <w:num w:numId="8">
    <w:abstractNumId w:val="11"/>
  </w:num>
  <w:num w:numId="9">
    <w:abstractNumId w:val="2"/>
  </w:num>
  <w:num w:numId="10">
    <w:abstractNumId w:val="15"/>
  </w:num>
  <w:num w:numId="11">
    <w:abstractNumId w:val="6"/>
  </w:num>
  <w:num w:numId="12">
    <w:abstractNumId w:val="9"/>
  </w:num>
  <w:num w:numId="13">
    <w:abstractNumId w:val="10"/>
  </w:num>
  <w:num w:numId="14">
    <w:abstractNumId w:val="0"/>
  </w:num>
  <w:num w:numId="15">
    <w:abstractNumId w:val="7"/>
  </w:num>
  <w:num w:numId="16">
    <w:abstractNumId w:val="3"/>
  </w:num>
  <w:num w:numId="17">
    <w:abstractNumId w:val="1"/>
  </w:num>
  <w:num w:numId="18">
    <w:abstractNumId w:val="4"/>
  </w:num>
  <w:num w:numId="19">
    <w:abstractNumId w:val="12"/>
  </w:num>
  <w:num w:numId="20">
    <w:abstractNumId w:val="1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F7"/>
    <w:rsid w:val="00002E85"/>
    <w:rsid w:val="0000532C"/>
    <w:rsid w:val="00013048"/>
    <w:rsid w:val="0001750C"/>
    <w:rsid w:val="000204BD"/>
    <w:rsid w:val="00047078"/>
    <w:rsid w:val="000539C4"/>
    <w:rsid w:val="000607FC"/>
    <w:rsid w:val="00065EF0"/>
    <w:rsid w:val="00072928"/>
    <w:rsid w:val="000736F3"/>
    <w:rsid w:val="00075940"/>
    <w:rsid w:val="000835B1"/>
    <w:rsid w:val="0008470B"/>
    <w:rsid w:val="0008540D"/>
    <w:rsid w:val="000A5FF2"/>
    <w:rsid w:val="000C34BF"/>
    <w:rsid w:val="000D7970"/>
    <w:rsid w:val="000E403E"/>
    <w:rsid w:val="000E5A13"/>
    <w:rsid w:val="000E5A49"/>
    <w:rsid w:val="000F140F"/>
    <w:rsid w:val="000F7CDB"/>
    <w:rsid w:val="001047F2"/>
    <w:rsid w:val="001077BB"/>
    <w:rsid w:val="00107913"/>
    <w:rsid w:val="00121393"/>
    <w:rsid w:val="00121970"/>
    <w:rsid w:val="0012557F"/>
    <w:rsid w:val="00133019"/>
    <w:rsid w:val="00134C8F"/>
    <w:rsid w:val="00140715"/>
    <w:rsid w:val="00142C78"/>
    <w:rsid w:val="00144DFC"/>
    <w:rsid w:val="001453B4"/>
    <w:rsid w:val="00151B55"/>
    <w:rsid w:val="00152A4E"/>
    <w:rsid w:val="00160496"/>
    <w:rsid w:val="00164939"/>
    <w:rsid w:val="00171F93"/>
    <w:rsid w:val="001741D8"/>
    <w:rsid w:val="001749BA"/>
    <w:rsid w:val="00174B37"/>
    <w:rsid w:val="00175864"/>
    <w:rsid w:val="00175EED"/>
    <w:rsid w:val="001901DE"/>
    <w:rsid w:val="00192D2B"/>
    <w:rsid w:val="001B02EF"/>
    <w:rsid w:val="001C1691"/>
    <w:rsid w:val="001C23AB"/>
    <w:rsid w:val="001D0CE9"/>
    <w:rsid w:val="001E1353"/>
    <w:rsid w:val="001E249D"/>
    <w:rsid w:val="001F126E"/>
    <w:rsid w:val="001F2534"/>
    <w:rsid w:val="001F487D"/>
    <w:rsid w:val="00205EC1"/>
    <w:rsid w:val="0020749B"/>
    <w:rsid w:val="002102F7"/>
    <w:rsid w:val="00235732"/>
    <w:rsid w:val="00235C5A"/>
    <w:rsid w:val="00237B20"/>
    <w:rsid w:val="00250988"/>
    <w:rsid w:val="00252221"/>
    <w:rsid w:val="00297BF5"/>
    <w:rsid w:val="00297CCF"/>
    <w:rsid w:val="002A0D79"/>
    <w:rsid w:val="002B0E23"/>
    <w:rsid w:val="002B3533"/>
    <w:rsid w:val="002B5C2E"/>
    <w:rsid w:val="002D1F85"/>
    <w:rsid w:val="002E1FA6"/>
    <w:rsid w:val="002F75C6"/>
    <w:rsid w:val="00300BC0"/>
    <w:rsid w:val="00317B24"/>
    <w:rsid w:val="00320E2C"/>
    <w:rsid w:val="00330355"/>
    <w:rsid w:val="0034147F"/>
    <w:rsid w:val="003450C6"/>
    <w:rsid w:val="00352599"/>
    <w:rsid w:val="003631E2"/>
    <w:rsid w:val="00371DBF"/>
    <w:rsid w:val="00383E2A"/>
    <w:rsid w:val="0038509A"/>
    <w:rsid w:val="0039522D"/>
    <w:rsid w:val="003979AD"/>
    <w:rsid w:val="003A465F"/>
    <w:rsid w:val="003A4A46"/>
    <w:rsid w:val="003B1882"/>
    <w:rsid w:val="003B470F"/>
    <w:rsid w:val="003B6D7F"/>
    <w:rsid w:val="003C68D7"/>
    <w:rsid w:val="003D2B1D"/>
    <w:rsid w:val="003D5736"/>
    <w:rsid w:val="003E0359"/>
    <w:rsid w:val="003E1974"/>
    <w:rsid w:val="003E448A"/>
    <w:rsid w:val="003E5CA8"/>
    <w:rsid w:val="003F1412"/>
    <w:rsid w:val="003F48D0"/>
    <w:rsid w:val="003F5347"/>
    <w:rsid w:val="00401789"/>
    <w:rsid w:val="00412406"/>
    <w:rsid w:val="0042499A"/>
    <w:rsid w:val="004400D7"/>
    <w:rsid w:val="004711F9"/>
    <w:rsid w:val="00473D67"/>
    <w:rsid w:val="00474982"/>
    <w:rsid w:val="00475143"/>
    <w:rsid w:val="00477158"/>
    <w:rsid w:val="004836F6"/>
    <w:rsid w:val="00483D6E"/>
    <w:rsid w:val="004903A6"/>
    <w:rsid w:val="0049452F"/>
    <w:rsid w:val="004A6222"/>
    <w:rsid w:val="004B2374"/>
    <w:rsid w:val="004B3B4F"/>
    <w:rsid w:val="004B453B"/>
    <w:rsid w:val="004C1746"/>
    <w:rsid w:val="004C6286"/>
    <w:rsid w:val="004D5A79"/>
    <w:rsid w:val="004E2DB9"/>
    <w:rsid w:val="004F0D3B"/>
    <w:rsid w:val="004F37B6"/>
    <w:rsid w:val="005075FC"/>
    <w:rsid w:val="00507D26"/>
    <w:rsid w:val="005403AB"/>
    <w:rsid w:val="00552A23"/>
    <w:rsid w:val="00553CE9"/>
    <w:rsid w:val="00554A2A"/>
    <w:rsid w:val="00554BC7"/>
    <w:rsid w:val="0055552D"/>
    <w:rsid w:val="0055794D"/>
    <w:rsid w:val="005620F6"/>
    <w:rsid w:val="00565AA8"/>
    <w:rsid w:val="00570217"/>
    <w:rsid w:val="00577B31"/>
    <w:rsid w:val="00580BD7"/>
    <w:rsid w:val="00581F8A"/>
    <w:rsid w:val="00585EF4"/>
    <w:rsid w:val="00595FD9"/>
    <w:rsid w:val="005A1CA9"/>
    <w:rsid w:val="005A51CA"/>
    <w:rsid w:val="005A720C"/>
    <w:rsid w:val="005C327B"/>
    <w:rsid w:val="005D37E3"/>
    <w:rsid w:val="005D48A1"/>
    <w:rsid w:val="005E2BCB"/>
    <w:rsid w:val="005F46C3"/>
    <w:rsid w:val="005F657C"/>
    <w:rsid w:val="005F699B"/>
    <w:rsid w:val="00601A77"/>
    <w:rsid w:val="006067EC"/>
    <w:rsid w:val="00615EE1"/>
    <w:rsid w:val="006266A9"/>
    <w:rsid w:val="0063133E"/>
    <w:rsid w:val="00635861"/>
    <w:rsid w:val="006473ED"/>
    <w:rsid w:val="00651D2D"/>
    <w:rsid w:val="00652327"/>
    <w:rsid w:val="00652F77"/>
    <w:rsid w:val="00673CFD"/>
    <w:rsid w:val="00674667"/>
    <w:rsid w:val="006760BA"/>
    <w:rsid w:val="00691B20"/>
    <w:rsid w:val="00695197"/>
    <w:rsid w:val="0069697A"/>
    <w:rsid w:val="006B313C"/>
    <w:rsid w:val="006C1DC4"/>
    <w:rsid w:val="006D77D8"/>
    <w:rsid w:val="006E0554"/>
    <w:rsid w:val="006F166C"/>
    <w:rsid w:val="00704E45"/>
    <w:rsid w:val="0070536F"/>
    <w:rsid w:val="0072282F"/>
    <w:rsid w:val="00725346"/>
    <w:rsid w:val="00731102"/>
    <w:rsid w:val="007334B8"/>
    <w:rsid w:val="007417A2"/>
    <w:rsid w:val="0074322D"/>
    <w:rsid w:val="0074326A"/>
    <w:rsid w:val="00746695"/>
    <w:rsid w:val="007528F6"/>
    <w:rsid w:val="007552F4"/>
    <w:rsid w:val="00764EAB"/>
    <w:rsid w:val="0076500B"/>
    <w:rsid w:val="007704FB"/>
    <w:rsid w:val="00776D9A"/>
    <w:rsid w:val="007859DD"/>
    <w:rsid w:val="00794CCC"/>
    <w:rsid w:val="007964D6"/>
    <w:rsid w:val="00797AD6"/>
    <w:rsid w:val="007B6B16"/>
    <w:rsid w:val="007C0535"/>
    <w:rsid w:val="007C0566"/>
    <w:rsid w:val="007D330A"/>
    <w:rsid w:val="007D3954"/>
    <w:rsid w:val="007D5A14"/>
    <w:rsid w:val="007D758F"/>
    <w:rsid w:val="007E6E64"/>
    <w:rsid w:val="007F0A58"/>
    <w:rsid w:val="007F192E"/>
    <w:rsid w:val="007F5521"/>
    <w:rsid w:val="007F6BC5"/>
    <w:rsid w:val="00803B07"/>
    <w:rsid w:val="0080674A"/>
    <w:rsid w:val="00807EE7"/>
    <w:rsid w:val="008225AC"/>
    <w:rsid w:val="00826B3D"/>
    <w:rsid w:val="00836CB3"/>
    <w:rsid w:val="00840F37"/>
    <w:rsid w:val="00846242"/>
    <w:rsid w:val="00857038"/>
    <w:rsid w:val="0086738F"/>
    <w:rsid w:val="00882170"/>
    <w:rsid w:val="00887C46"/>
    <w:rsid w:val="00896A6C"/>
    <w:rsid w:val="008A09A3"/>
    <w:rsid w:val="008A0A61"/>
    <w:rsid w:val="008A0E8F"/>
    <w:rsid w:val="008A735C"/>
    <w:rsid w:val="008B0475"/>
    <w:rsid w:val="008B3893"/>
    <w:rsid w:val="008B3D3E"/>
    <w:rsid w:val="008E5874"/>
    <w:rsid w:val="008F481F"/>
    <w:rsid w:val="00902BF2"/>
    <w:rsid w:val="0091174E"/>
    <w:rsid w:val="0091722E"/>
    <w:rsid w:val="00922154"/>
    <w:rsid w:val="00923C35"/>
    <w:rsid w:val="009371E3"/>
    <w:rsid w:val="009438A1"/>
    <w:rsid w:val="00957DC5"/>
    <w:rsid w:val="00962578"/>
    <w:rsid w:val="009749EA"/>
    <w:rsid w:val="0097616D"/>
    <w:rsid w:val="009842C2"/>
    <w:rsid w:val="009A6BFE"/>
    <w:rsid w:val="009B094E"/>
    <w:rsid w:val="009B157D"/>
    <w:rsid w:val="009B254D"/>
    <w:rsid w:val="009C2063"/>
    <w:rsid w:val="009C5FF0"/>
    <w:rsid w:val="009D5CAF"/>
    <w:rsid w:val="009E1921"/>
    <w:rsid w:val="009F1799"/>
    <w:rsid w:val="009F2698"/>
    <w:rsid w:val="009F3CAA"/>
    <w:rsid w:val="00A00AB3"/>
    <w:rsid w:val="00A02594"/>
    <w:rsid w:val="00A1008C"/>
    <w:rsid w:val="00A201CB"/>
    <w:rsid w:val="00A2734B"/>
    <w:rsid w:val="00A338D8"/>
    <w:rsid w:val="00A41779"/>
    <w:rsid w:val="00A436F6"/>
    <w:rsid w:val="00A43AFA"/>
    <w:rsid w:val="00A7071C"/>
    <w:rsid w:val="00A8011F"/>
    <w:rsid w:val="00A878CC"/>
    <w:rsid w:val="00A909DF"/>
    <w:rsid w:val="00A93BCE"/>
    <w:rsid w:val="00A93C21"/>
    <w:rsid w:val="00A95676"/>
    <w:rsid w:val="00AB016D"/>
    <w:rsid w:val="00AB4C1D"/>
    <w:rsid w:val="00AB5C04"/>
    <w:rsid w:val="00AD49AE"/>
    <w:rsid w:val="00AE031A"/>
    <w:rsid w:val="00AE61AD"/>
    <w:rsid w:val="00AE7E66"/>
    <w:rsid w:val="00B019CE"/>
    <w:rsid w:val="00B057AA"/>
    <w:rsid w:val="00B15564"/>
    <w:rsid w:val="00B178E3"/>
    <w:rsid w:val="00B21ABA"/>
    <w:rsid w:val="00B3514E"/>
    <w:rsid w:val="00B406A4"/>
    <w:rsid w:val="00B556EB"/>
    <w:rsid w:val="00B6016C"/>
    <w:rsid w:val="00B84BF5"/>
    <w:rsid w:val="00B95C7E"/>
    <w:rsid w:val="00BA28E2"/>
    <w:rsid w:val="00BA30DA"/>
    <w:rsid w:val="00BA6215"/>
    <w:rsid w:val="00BB0ECE"/>
    <w:rsid w:val="00BB359D"/>
    <w:rsid w:val="00BC1614"/>
    <w:rsid w:val="00BC42DC"/>
    <w:rsid w:val="00BD71B3"/>
    <w:rsid w:val="00C01EAE"/>
    <w:rsid w:val="00C02116"/>
    <w:rsid w:val="00C05444"/>
    <w:rsid w:val="00C33A78"/>
    <w:rsid w:val="00C4535C"/>
    <w:rsid w:val="00C46965"/>
    <w:rsid w:val="00C60ADE"/>
    <w:rsid w:val="00C64725"/>
    <w:rsid w:val="00C662B0"/>
    <w:rsid w:val="00C67AAB"/>
    <w:rsid w:val="00C720D1"/>
    <w:rsid w:val="00C728A1"/>
    <w:rsid w:val="00C74B17"/>
    <w:rsid w:val="00C846B8"/>
    <w:rsid w:val="00C84A0F"/>
    <w:rsid w:val="00CA10BD"/>
    <w:rsid w:val="00CA3985"/>
    <w:rsid w:val="00CA3C0C"/>
    <w:rsid w:val="00CA7951"/>
    <w:rsid w:val="00CB0EC9"/>
    <w:rsid w:val="00CB1542"/>
    <w:rsid w:val="00CB27A8"/>
    <w:rsid w:val="00CB5D1A"/>
    <w:rsid w:val="00CB6E53"/>
    <w:rsid w:val="00CC0B29"/>
    <w:rsid w:val="00CC3D42"/>
    <w:rsid w:val="00CE7BDF"/>
    <w:rsid w:val="00CF1E0D"/>
    <w:rsid w:val="00D0459E"/>
    <w:rsid w:val="00D13689"/>
    <w:rsid w:val="00D2059E"/>
    <w:rsid w:val="00D25B11"/>
    <w:rsid w:val="00D32FE7"/>
    <w:rsid w:val="00D50047"/>
    <w:rsid w:val="00D676FF"/>
    <w:rsid w:val="00D775D5"/>
    <w:rsid w:val="00D77775"/>
    <w:rsid w:val="00D805AB"/>
    <w:rsid w:val="00D8089B"/>
    <w:rsid w:val="00D84840"/>
    <w:rsid w:val="00D905B0"/>
    <w:rsid w:val="00DA0B9B"/>
    <w:rsid w:val="00DA1E5B"/>
    <w:rsid w:val="00DA351C"/>
    <w:rsid w:val="00DB0156"/>
    <w:rsid w:val="00DB0527"/>
    <w:rsid w:val="00DB06B6"/>
    <w:rsid w:val="00DC1C4C"/>
    <w:rsid w:val="00DC6B38"/>
    <w:rsid w:val="00DD3E10"/>
    <w:rsid w:val="00DD692F"/>
    <w:rsid w:val="00DE5D4E"/>
    <w:rsid w:val="00DF5364"/>
    <w:rsid w:val="00E02052"/>
    <w:rsid w:val="00E05F0A"/>
    <w:rsid w:val="00E30E76"/>
    <w:rsid w:val="00E324CA"/>
    <w:rsid w:val="00E33539"/>
    <w:rsid w:val="00E35476"/>
    <w:rsid w:val="00E357FA"/>
    <w:rsid w:val="00E467C9"/>
    <w:rsid w:val="00E50359"/>
    <w:rsid w:val="00E53F55"/>
    <w:rsid w:val="00E60F01"/>
    <w:rsid w:val="00E676AC"/>
    <w:rsid w:val="00E73F1B"/>
    <w:rsid w:val="00E83385"/>
    <w:rsid w:val="00E90BBE"/>
    <w:rsid w:val="00E9381E"/>
    <w:rsid w:val="00EA1F60"/>
    <w:rsid w:val="00EA288A"/>
    <w:rsid w:val="00EA3849"/>
    <w:rsid w:val="00EA68F8"/>
    <w:rsid w:val="00EC1596"/>
    <w:rsid w:val="00EC2F73"/>
    <w:rsid w:val="00EC4824"/>
    <w:rsid w:val="00F06DE0"/>
    <w:rsid w:val="00F13219"/>
    <w:rsid w:val="00F22AB8"/>
    <w:rsid w:val="00F26694"/>
    <w:rsid w:val="00F3172D"/>
    <w:rsid w:val="00F3276B"/>
    <w:rsid w:val="00F6579A"/>
    <w:rsid w:val="00F736A8"/>
    <w:rsid w:val="00F74EDF"/>
    <w:rsid w:val="00F765C5"/>
    <w:rsid w:val="00F76A3A"/>
    <w:rsid w:val="00F7769E"/>
    <w:rsid w:val="00FA4117"/>
    <w:rsid w:val="00FB110A"/>
    <w:rsid w:val="00FB51CB"/>
    <w:rsid w:val="00FE6866"/>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C9A5"/>
  <w15:chartTrackingRefBased/>
  <w15:docId w15:val="{F893208F-CCD4-44F8-BB56-BD0EE2CE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56"/>
    <w:rPr>
      <w:rFonts w:ascii="Sylfaen" w:hAnsi="Sylfaen"/>
      <w:sz w:val="20"/>
      <w:szCs w:val="20"/>
    </w:rPr>
  </w:style>
  <w:style w:type="paragraph" w:styleId="Heading1">
    <w:name w:val="heading 1"/>
    <w:basedOn w:val="Normal"/>
    <w:next w:val="Normal"/>
    <w:link w:val="Heading1Char"/>
    <w:uiPriority w:val="9"/>
    <w:qFormat/>
    <w:rsid w:val="00DB01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B0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2F7"/>
  </w:style>
  <w:style w:type="paragraph" w:styleId="Footer">
    <w:name w:val="footer"/>
    <w:basedOn w:val="Normal"/>
    <w:link w:val="FooterChar"/>
    <w:uiPriority w:val="99"/>
    <w:unhideWhenUsed/>
    <w:rsid w:val="0021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2F7"/>
  </w:style>
  <w:style w:type="character" w:customStyle="1" w:styleId="Heading3Char">
    <w:name w:val="Heading 3 Char"/>
    <w:basedOn w:val="DefaultParagraphFont"/>
    <w:link w:val="Heading3"/>
    <w:uiPriority w:val="9"/>
    <w:rsid w:val="00DB01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B0156"/>
    <w:pPr>
      <w:ind w:left="720"/>
      <w:contextualSpacing/>
    </w:pPr>
  </w:style>
  <w:style w:type="character" w:styleId="CommentReference">
    <w:name w:val="annotation reference"/>
    <w:basedOn w:val="DefaultParagraphFont"/>
    <w:uiPriority w:val="99"/>
    <w:semiHidden/>
    <w:unhideWhenUsed/>
    <w:rsid w:val="00DB0156"/>
    <w:rPr>
      <w:sz w:val="16"/>
      <w:szCs w:val="16"/>
    </w:rPr>
  </w:style>
  <w:style w:type="paragraph" w:styleId="CommentText">
    <w:name w:val="annotation text"/>
    <w:basedOn w:val="Normal"/>
    <w:link w:val="CommentTextChar"/>
    <w:uiPriority w:val="99"/>
    <w:unhideWhenUsed/>
    <w:rsid w:val="00DB0156"/>
    <w:pPr>
      <w:spacing w:line="240" w:lineRule="auto"/>
    </w:pPr>
  </w:style>
  <w:style w:type="character" w:customStyle="1" w:styleId="CommentTextChar">
    <w:name w:val="Comment Text Char"/>
    <w:basedOn w:val="DefaultParagraphFont"/>
    <w:link w:val="CommentText"/>
    <w:uiPriority w:val="99"/>
    <w:rsid w:val="00DB0156"/>
    <w:rPr>
      <w:rFonts w:ascii="Sylfaen" w:hAnsi="Sylfaen"/>
      <w:sz w:val="20"/>
      <w:szCs w:val="20"/>
    </w:rPr>
  </w:style>
  <w:style w:type="character" w:styleId="Hyperlink">
    <w:name w:val="Hyperlink"/>
    <w:basedOn w:val="DefaultParagraphFont"/>
    <w:uiPriority w:val="99"/>
    <w:unhideWhenUsed/>
    <w:rsid w:val="00DB0156"/>
    <w:rPr>
      <w:color w:val="0563C1" w:themeColor="hyperlink"/>
      <w:u w:val="single"/>
    </w:rPr>
  </w:style>
  <w:style w:type="character" w:customStyle="1" w:styleId="Heading1Char">
    <w:name w:val="Heading 1 Char"/>
    <w:basedOn w:val="DefaultParagraphFont"/>
    <w:link w:val="Heading1"/>
    <w:uiPriority w:val="9"/>
    <w:rsid w:val="00DB01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B0156"/>
    <w:pPr>
      <w:outlineLvl w:val="9"/>
    </w:pPr>
  </w:style>
  <w:style w:type="paragraph" w:styleId="TOC3">
    <w:name w:val="toc 3"/>
    <w:basedOn w:val="Normal"/>
    <w:next w:val="Normal"/>
    <w:autoRedefine/>
    <w:uiPriority w:val="39"/>
    <w:unhideWhenUsed/>
    <w:rsid w:val="00DB0156"/>
    <w:pPr>
      <w:spacing w:after="100"/>
      <w:ind w:left="400"/>
    </w:pPr>
  </w:style>
  <w:style w:type="paragraph" w:styleId="BalloonText">
    <w:name w:val="Balloon Text"/>
    <w:basedOn w:val="Normal"/>
    <w:link w:val="BalloonTextChar"/>
    <w:uiPriority w:val="99"/>
    <w:semiHidden/>
    <w:unhideWhenUsed/>
    <w:rsid w:val="00D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56"/>
    <w:rPr>
      <w:rFonts w:ascii="Segoe UI" w:hAnsi="Segoe UI" w:cs="Segoe UI"/>
      <w:sz w:val="18"/>
      <w:szCs w:val="18"/>
    </w:rPr>
  </w:style>
  <w:style w:type="paragraph" w:styleId="NormalWeb">
    <w:name w:val="Normal (Web)"/>
    <w:basedOn w:val="Normal"/>
    <w:uiPriority w:val="99"/>
    <w:semiHidden/>
    <w:unhideWhenUsed/>
    <w:rsid w:val="00CB5D1A"/>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B5D1A"/>
    <w:rPr>
      <w:b/>
      <w:bCs/>
    </w:rPr>
  </w:style>
  <w:style w:type="character" w:customStyle="1" w:styleId="CommentSubjectChar">
    <w:name w:val="Comment Subject Char"/>
    <w:basedOn w:val="CommentTextChar"/>
    <w:link w:val="CommentSubject"/>
    <w:uiPriority w:val="99"/>
    <w:semiHidden/>
    <w:rsid w:val="00CB5D1A"/>
    <w:rPr>
      <w:rFonts w:ascii="Sylfaen" w:hAnsi="Sylfaen"/>
      <w:b/>
      <w:bCs/>
      <w:sz w:val="20"/>
      <w:szCs w:val="20"/>
    </w:rPr>
  </w:style>
  <w:style w:type="character" w:styleId="FollowedHyperlink">
    <w:name w:val="FollowedHyperlink"/>
    <w:basedOn w:val="DefaultParagraphFont"/>
    <w:uiPriority w:val="99"/>
    <w:semiHidden/>
    <w:unhideWhenUsed/>
    <w:rsid w:val="0038509A"/>
    <w:rPr>
      <w:color w:val="954F72" w:themeColor="followedHyperlink"/>
      <w:u w:val="single"/>
    </w:rPr>
  </w:style>
  <w:style w:type="paragraph" w:styleId="Revision">
    <w:name w:val="Revision"/>
    <w:hidden/>
    <w:uiPriority w:val="99"/>
    <w:semiHidden/>
    <w:rsid w:val="005A1CA9"/>
    <w:pPr>
      <w:spacing w:after="0" w:line="240" w:lineRule="auto"/>
    </w:pPr>
    <w:rPr>
      <w:rFonts w:ascii="Sylfaen" w:hAnsi="Sylfaen"/>
      <w:sz w:val="20"/>
      <w:szCs w:val="20"/>
    </w:rPr>
  </w:style>
  <w:style w:type="table" w:styleId="TableGrid">
    <w:name w:val="Table Grid"/>
    <w:basedOn w:val="TableNormal"/>
    <w:uiPriority w:val="39"/>
    <w:rsid w:val="0069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266A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266A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8861">
      <w:bodyDiv w:val="1"/>
      <w:marLeft w:val="0"/>
      <w:marRight w:val="0"/>
      <w:marTop w:val="0"/>
      <w:marBottom w:val="0"/>
      <w:divBdr>
        <w:top w:val="none" w:sz="0" w:space="0" w:color="auto"/>
        <w:left w:val="none" w:sz="0" w:space="0" w:color="auto"/>
        <w:bottom w:val="none" w:sz="0" w:space="0" w:color="auto"/>
        <w:right w:val="none" w:sz="0" w:space="0" w:color="auto"/>
      </w:divBdr>
    </w:div>
    <w:div w:id="182404698">
      <w:bodyDiv w:val="1"/>
      <w:marLeft w:val="0"/>
      <w:marRight w:val="0"/>
      <w:marTop w:val="0"/>
      <w:marBottom w:val="0"/>
      <w:divBdr>
        <w:top w:val="none" w:sz="0" w:space="0" w:color="auto"/>
        <w:left w:val="none" w:sz="0" w:space="0" w:color="auto"/>
        <w:bottom w:val="none" w:sz="0" w:space="0" w:color="auto"/>
        <w:right w:val="none" w:sz="0" w:space="0" w:color="auto"/>
      </w:divBdr>
    </w:div>
    <w:div w:id="448816781">
      <w:bodyDiv w:val="1"/>
      <w:marLeft w:val="0"/>
      <w:marRight w:val="0"/>
      <w:marTop w:val="0"/>
      <w:marBottom w:val="0"/>
      <w:divBdr>
        <w:top w:val="none" w:sz="0" w:space="0" w:color="auto"/>
        <w:left w:val="none" w:sz="0" w:space="0" w:color="auto"/>
        <w:bottom w:val="none" w:sz="0" w:space="0" w:color="auto"/>
        <w:right w:val="none" w:sz="0" w:space="0" w:color="auto"/>
      </w:divBdr>
    </w:div>
    <w:div w:id="450906351">
      <w:bodyDiv w:val="1"/>
      <w:marLeft w:val="0"/>
      <w:marRight w:val="0"/>
      <w:marTop w:val="0"/>
      <w:marBottom w:val="0"/>
      <w:divBdr>
        <w:top w:val="none" w:sz="0" w:space="0" w:color="auto"/>
        <w:left w:val="none" w:sz="0" w:space="0" w:color="auto"/>
        <w:bottom w:val="none" w:sz="0" w:space="0" w:color="auto"/>
        <w:right w:val="none" w:sz="0" w:space="0" w:color="auto"/>
      </w:divBdr>
    </w:div>
    <w:div w:id="568534996">
      <w:bodyDiv w:val="1"/>
      <w:marLeft w:val="0"/>
      <w:marRight w:val="0"/>
      <w:marTop w:val="0"/>
      <w:marBottom w:val="0"/>
      <w:divBdr>
        <w:top w:val="none" w:sz="0" w:space="0" w:color="auto"/>
        <w:left w:val="none" w:sz="0" w:space="0" w:color="auto"/>
        <w:bottom w:val="none" w:sz="0" w:space="0" w:color="auto"/>
        <w:right w:val="none" w:sz="0" w:space="0" w:color="auto"/>
      </w:divBdr>
    </w:div>
    <w:div w:id="623655914">
      <w:bodyDiv w:val="1"/>
      <w:marLeft w:val="0"/>
      <w:marRight w:val="0"/>
      <w:marTop w:val="0"/>
      <w:marBottom w:val="0"/>
      <w:divBdr>
        <w:top w:val="none" w:sz="0" w:space="0" w:color="auto"/>
        <w:left w:val="none" w:sz="0" w:space="0" w:color="auto"/>
        <w:bottom w:val="none" w:sz="0" w:space="0" w:color="auto"/>
        <w:right w:val="none" w:sz="0" w:space="0" w:color="auto"/>
      </w:divBdr>
    </w:div>
    <w:div w:id="738749063">
      <w:bodyDiv w:val="1"/>
      <w:marLeft w:val="0"/>
      <w:marRight w:val="0"/>
      <w:marTop w:val="0"/>
      <w:marBottom w:val="0"/>
      <w:divBdr>
        <w:top w:val="none" w:sz="0" w:space="0" w:color="auto"/>
        <w:left w:val="none" w:sz="0" w:space="0" w:color="auto"/>
        <w:bottom w:val="none" w:sz="0" w:space="0" w:color="auto"/>
        <w:right w:val="none" w:sz="0" w:space="0" w:color="auto"/>
      </w:divBdr>
    </w:div>
    <w:div w:id="778140962">
      <w:bodyDiv w:val="1"/>
      <w:marLeft w:val="0"/>
      <w:marRight w:val="0"/>
      <w:marTop w:val="0"/>
      <w:marBottom w:val="0"/>
      <w:divBdr>
        <w:top w:val="none" w:sz="0" w:space="0" w:color="auto"/>
        <w:left w:val="none" w:sz="0" w:space="0" w:color="auto"/>
        <w:bottom w:val="none" w:sz="0" w:space="0" w:color="auto"/>
        <w:right w:val="none" w:sz="0" w:space="0" w:color="auto"/>
      </w:divBdr>
    </w:div>
    <w:div w:id="810437769">
      <w:bodyDiv w:val="1"/>
      <w:marLeft w:val="0"/>
      <w:marRight w:val="0"/>
      <w:marTop w:val="0"/>
      <w:marBottom w:val="0"/>
      <w:divBdr>
        <w:top w:val="none" w:sz="0" w:space="0" w:color="auto"/>
        <w:left w:val="none" w:sz="0" w:space="0" w:color="auto"/>
        <w:bottom w:val="none" w:sz="0" w:space="0" w:color="auto"/>
        <w:right w:val="none" w:sz="0" w:space="0" w:color="auto"/>
      </w:divBdr>
    </w:div>
    <w:div w:id="1244991075">
      <w:bodyDiv w:val="1"/>
      <w:marLeft w:val="0"/>
      <w:marRight w:val="0"/>
      <w:marTop w:val="0"/>
      <w:marBottom w:val="0"/>
      <w:divBdr>
        <w:top w:val="none" w:sz="0" w:space="0" w:color="auto"/>
        <w:left w:val="none" w:sz="0" w:space="0" w:color="auto"/>
        <w:bottom w:val="none" w:sz="0" w:space="0" w:color="auto"/>
        <w:right w:val="none" w:sz="0" w:space="0" w:color="auto"/>
      </w:divBdr>
    </w:div>
    <w:div w:id="1280644690">
      <w:bodyDiv w:val="1"/>
      <w:marLeft w:val="0"/>
      <w:marRight w:val="0"/>
      <w:marTop w:val="0"/>
      <w:marBottom w:val="0"/>
      <w:divBdr>
        <w:top w:val="none" w:sz="0" w:space="0" w:color="auto"/>
        <w:left w:val="none" w:sz="0" w:space="0" w:color="auto"/>
        <w:bottom w:val="none" w:sz="0" w:space="0" w:color="auto"/>
        <w:right w:val="none" w:sz="0" w:space="0" w:color="auto"/>
      </w:divBdr>
    </w:div>
    <w:div w:id="1326859743">
      <w:bodyDiv w:val="1"/>
      <w:marLeft w:val="0"/>
      <w:marRight w:val="0"/>
      <w:marTop w:val="0"/>
      <w:marBottom w:val="0"/>
      <w:divBdr>
        <w:top w:val="none" w:sz="0" w:space="0" w:color="auto"/>
        <w:left w:val="none" w:sz="0" w:space="0" w:color="auto"/>
        <w:bottom w:val="none" w:sz="0" w:space="0" w:color="auto"/>
        <w:right w:val="none" w:sz="0" w:space="0" w:color="auto"/>
      </w:divBdr>
    </w:div>
    <w:div w:id="1400443590">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720862123">
      <w:bodyDiv w:val="1"/>
      <w:marLeft w:val="0"/>
      <w:marRight w:val="0"/>
      <w:marTop w:val="0"/>
      <w:marBottom w:val="0"/>
      <w:divBdr>
        <w:top w:val="none" w:sz="0" w:space="0" w:color="auto"/>
        <w:left w:val="none" w:sz="0" w:space="0" w:color="auto"/>
        <w:bottom w:val="none" w:sz="0" w:space="0" w:color="auto"/>
        <w:right w:val="none" w:sz="0" w:space="0" w:color="auto"/>
      </w:divBdr>
    </w:div>
    <w:div w:id="1865441991">
      <w:bodyDiv w:val="1"/>
      <w:marLeft w:val="0"/>
      <w:marRight w:val="0"/>
      <w:marTop w:val="0"/>
      <w:marBottom w:val="0"/>
      <w:divBdr>
        <w:top w:val="none" w:sz="0" w:space="0" w:color="auto"/>
        <w:left w:val="none" w:sz="0" w:space="0" w:color="auto"/>
        <w:bottom w:val="none" w:sz="0" w:space="0" w:color="auto"/>
        <w:right w:val="none" w:sz="0" w:space="0" w:color="auto"/>
      </w:divBdr>
    </w:div>
    <w:div w:id="1880162527">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 w:id="20583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c3NraGlydGxhZHplPC9Vc2VyTmFtZT48RGF0ZVRpbWU+My8yMS8yMDIyIDc6NTU6MDU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6582D80A-D273-4761-A402-412C19C8805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D7B8A59-2278-47CC-BCEC-2CAA7925A7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NBG</cp:lastModifiedBy>
  <cp:revision>4</cp:revision>
  <dcterms:created xsi:type="dcterms:W3CDTF">2023-02-17T12:35:00Z</dcterms:created>
  <dcterms:modified xsi:type="dcterms:W3CDTF">2023-02-17T12:46:00Z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78919eae-89b7-4c1e-b87a-125a775b1d1e</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CZ4DpwPf2/+PIys4+T+e0831R7w1EA6x</vt:lpwstr>
  </property>
  <property fmtid="{D5CDD505-2E9C-101B-9397-08002B2CF9AE}" pid="6" name="bjLabelHistoryID">
    <vt:lpwstr>{6582D80A-D273-4761-A402-412C19C8805D}</vt:lpwstr>
  </property>
</Properties>
</file>