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65E369" w14:textId="77777777" w:rsidR="0052743E" w:rsidRPr="00AE2DBF" w:rsidRDefault="0052743E" w:rsidP="008E2AD6">
      <w:pPr>
        <w:spacing w:line="276" w:lineRule="auto"/>
        <w:jc w:val="center"/>
        <w:rPr>
          <w:b/>
        </w:rPr>
      </w:pPr>
      <w:bookmarkStart w:id="0" w:name="_GoBack"/>
      <w:bookmarkEnd w:id="0"/>
      <w:r w:rsidRPr="00AE2DBF">
        <w:rPr>
          <w:b/>
        </w:rPr>
        <w:t>საქართველოს ეროვნული ბანკის პრეზიდენტის</w:t>
      </w:r>
    </w:p>
    <w:p w14:paraId="5AD20FE8" w14:textId="5D3124E3" w:rsidR="0052743E" w:rsidRPr="00AE2DBF" w:rsidRDefault="0052743E" w:rsidP="008E2AD6">
      <w:pPr>
        <w:spacing w:after="120" w:line="276" w:lineRule="auto"/>
        <w:jc w:val="center"/>
        <w:rPr>
          <w:b/>
        </w:rPr>
      </w:pPr>
      <w:r w:rsidRPr="00AE2DBF">
        <w:rPr>
          <w:b/>
        </w:rPr>
        <w:t xml:space="preserve"> ბრძანება </w:t>
      </w:r>
      <w:r w:rsidR="000E4B13" w:rsidRPr="00AE2DBF">
        <w:rPr>
          <w:b/>
        </w:rPr>
        <w:t>№...</w:t>
      </w:r>
    </w:p>
    <w:p w14:paraId="47B90C2D" w14:textId="419DD097" w:rsidR="002E1BEA" w:rsidRPr="00AE2DBF" w:rsidRDefault="0052743E" w:rsidP="008E2AD6">
      <w:pPr>
        <w:spacing w:after="120" w:line="276" w:lineRule="auto"/>
        <w:jc w:val="center"/>
      </w:pPr>
      <w:r w:rsidRPr="00AE2DBF">
        <w:rPr>
          <w:b/>
        </w:rPr>
        <w:t>202</w:t>
      </w:r>
      <w:r w:rsidR="002D183C">
        <w:rPr>
          <w:b/>
        </w:rPr>
        <w:t>6</w:t>
      </w:r>
      <w:r w:rsidRPr="00AE2DBF">
        <w:rPr>
          <w:b/>
        </w:rPr>
        <w:t> წლის -- ---------</w:t>
      </w:r>
      <w:r w:rsidRPr="00AE2DBF">
        <w:t xml:space="preserve"> </w:t>
      </w:r>
    </w:p>
    <w:p w14:paraId="2114EC79" w14:textId="77777777" w:rsidR="0052743E" w:rsidRPr="00AE2DBF" w:rsidRDefault="0052743E" w:rsidP="00AE2DBF">
      <w:pPr>
        <w:spacing w:line="276" w:lineRule="auto"/>
        <w:jc w:val="center"/>
        <w:rPr>
          <w:b/>
        </w:rPr>
      </w:pPr>
      <w:r w:rsidRPr="00AE2DBF">
        <w:rPr>
          <w:b/>
        </w:rPr>
        <w:t>ქ. თბილისი</w:t>
      </w:r>
    </w:p>
    <w:p w14:paraId="3AC0946E" w14:textId="77777777" w:rsidR="0052743E" w:rsidRPr="00692074" w:rsidRDefault="0052743E" w:rsidP="008E2AD6">
      <w:pPr>
        <w:spacing w:after="0" w:line="276" w:lineRule="auto"/>
        <w:jc w:val="center"/>
        <w:rPr>
          <w:b/>
        </w:rPr>
      </w:pPr>
    </w:p>
    <w:p w14:paraId="090B1BD4" w14:textId="5E5812EF" w:rsidR="0052743E" w:rsidRPr="00692074" w:rsidRDefault="0052743E" w:rsidP="008E2AD6">
      <w:pPr>
        <w:spacing w:after="480" w:line="276" w:lineRule="auto"/>
        <w:jc w:val="center"/>
        <w:rPr>
          <w:b/>
        </w:rPr>
      </w:pPr>
      <w:r w:rsidRPr="00692074">
        <w:rPr>
          <w:b/>
        </w:rPr>
        <w:t>„ფინანსური ინსტრუმენტების სავაჭრო სისტემის ორგანიზებულ ბაზრად აღიარების წესის დამტკიცების შესახებ“ საქართველოს ეროვნული ბანკის პრეზიდენტის 2018 წლის 20 თებერვლის №33/04 ბრძანებაში ცვლილების შეტანის თაობაზე</w:t>
      </w:r>
    </w:p>
    <w:p w14:paraId="0A373BA8" w14:textId="5CB2C241" w:rsidR="0052743E" w:rsidRPr="00657521" w:rsidRDefault="0052743E" w:rsidP="008E2AD6">
      <w:pPr>
        <w:spacing w:after="240" w:line="276" w:lineRule="auto"/>
        <w:jc w:val="both"/>
        <w:rPr>
          <w:b/>
        </w:rPr>
      </w:pPr>
      <w:r w:rsidRPr="00657521">
        <w:t>„საქართველოს ეროვნული ბანკის შესახებ“ საქართველოს ორგანული კანონის მე-15 მუხლის პირველი პუნქტის „ზ“ ქვეპუნქტის</w:t>
      </w:r>
      <w:r w:rsidR="000E4B13">
        <w:t>ა და</w:t>
      </w:r>
      <w:r w:rsidRPr="00657521">
        <w:t xml:space="preserve"> </w:t>
      </w:r>
      <w:r w:rsidR="000E4B13" w:rsidRPr="000E4B13">
        <w:t xml:space="preserve">„ნორმატიული აქტების შესახებ“ საქართველოს </w:t>
      </w:r>
      <w:r w:rsidR="000E4B13">
        <w:t xml:space="preserve">ორგანული </w:t>
      </w:r>
      <w:r w:rsidR="000E4B13" w:rsidRPr="000E4B13">
        <w:t>კანონის მე-20 მუხლის მე-4 პუნქტის</w:t>
      </w:r>
      <w:r w:rsidR="0098455D">
        <w:t xml:space="preserve"> </w:t>
      </w:r>
      <w:r w:rsidR="00E4664A">
        <w:t>საფუძველზე</w:t>
      </w:r>
      <w:r w:rsidR="00E4664A" w:rsidRPr="00657521">
        <w:t>, </w:t>
      </w:r>
      <w:r w:rsidRPr="00657521">
        <w:rPr>
          <w:b/>
        </w:rPr>
        <w:t>ვბრძანებ:</w:t>
      </w:r>
    </w:p>
    <w:p w14:paraId="03F852E2" w14:textId="50D326CE" w:rsidR="0052743E" w:rsidRPr="00657521" w:rsidRDefault="0052743E" w:rsidP="008E2AD6">
      <w:pPr>
        <w:spacing w:after="60" w:line="276" w:lineRule="auto"/>
        <w:contextualSpacing/>
        <w:jc w:val="both"/>
        <w:rPr>
          <w:b/>
        </w:rPr>
      </w:pPr>
      <w:r w:rsidRPr="00657521">
        <w:rPr>
          <w:b/>
        </w:rPr>
        <w:t>მუხლი 1</w:t>
      </w:r>
    </w:p>
    <w:p w14:paraId="68905A14" w14:textId="164272C3" w:rsidR="0052743E" w:rsidRDefault="0052743E" w:rsidP="008E2AD6">
      <w:pPr>
        <w:spacing w:after="120" w:line="276" w:lineRule="auto"/>
        <w:contextualSpacing/>
        <w:jc w:val="both"/>
      </w:pPr>
      <w:r w:rsidRPr="00657521">
        <w:t>„ფინანსური ინსტრუმენტების სავაჭრო სისტემის ორგანიზებულ ბაზრად აღიარების წესის დამტკიცების შესახებ“ საქართველოს ეროვნული ბანკის პრეზიდენტის 2018 წლის 20 თებერვლის №33/04 ბრძანებ</w:t>
      </w:r>
      <w:r w:rsidR="000E4B13">
        <w:t>ით</w:t>
      </w:r>
      <w:r w:rsidR="0098455D">
        <w:t xml:space="preserve"> </w:t>
      </w:r>
      <w:r w:rsidR="0098455D" w:rsidRPr="0098455D">
        <w:t>(www.matsne.gov.ge, 20/02/2018; ს/კ: 220010080.18.011.016280)</w:t>
      </w:r>
      <w:r w:rsidRPr="00657521">
        <w:t xml:space="preserve"> </w:t>
      </w:r>
      <w:r w:rsidR="000E4B13">
        <w:t xml:space="preserve">დამტკიცებულ წესში </w:t>
      </w:r>
      <w:r w:rsidRPr="00657521">
        <w:t>შეტანილ იქნეს შემდეგი ცვლილებ</w:t>
      </w:r>
      <w:r w:rsidR="000E4B13">
        <w:t>ა</w:t>
      </w:r>
      <w:r w:rsidRPr="00657521">
        <w:t>:</w:t>
      </w:r>
    </w:p>
    <w:p w14:paraId="7AE2D34D" w14:textId="77777777" w:rsidR="00770AAB" w:rsidRPr="00657521" w:rsidRDefault="00770AAB" w:rsidP="008E2AD6">
      <w:pPr>
        <w:spacing w:after="120" w:line="276" w:lineRule="auto"/>
        <w:contextualSpacing/>
        <w:jc w:val="both"/>
      </w:pPr>
    </w:p>
    <w:p w14:paraId="5190616F" w14:textId="08BC4691" w:rsidR="00AA1702" w:rsidRDefault="009866EA" w:rsidP="000E4B13">
      <w:pPr>
        <w:spacing w:after="120" w:line="276" w:lineRule="auto"/>
        <w:contextualSpacing/>
        <w:jc w:val="both"/>
        <w:rPr>
          <w:b/>
        </w:rPr>
      </w:pPr>
      <w:r>
        <w:rPr>
          <w:b/>
        </w:rPr>
        <w:t>ა</w:t>
      </w:r>
      <w:r w:rsidR="00B34197">
        <w:rPr>
          <w:b/>
        </w:rPr>
        <w:t xml:space="preserve">) </w:t>
      </w:r>
      <w:r w:rsidR="000E4B13">
        <w:rPr>
          <w:b/>
        </w:rPr>
        <w:t>მე-6 მუხლის შემდეგ დაემატოს შემდეგი შინაარსის 6</w:t>
      </w:r>
      <w:r w:rsidR="000E4B13">
        <w:rPr>
          <w:b/>
          <w:vertAlign w:val="superscript"/>
        </w:rPr>
        <w:t>1</w:t>
      </w:r>
      <w:r w:rsidR="000E4B13">
        <w:rPr>
          <w:b/>
        </w:rPr>
        <w:t xml:space="preserve"> მუხლი:</w:t>
      </w:r>
    </w:p>
    <w:p w14:paraId="2AF6CB26" w14:textId="39EBCEE4" w:rsidR="000E4B13" w:rsidRPr="000E4B13" w:rsidRDefault="000E4B13" w:rsidP="000E4B13">
      <w:pPr>
        <w:spacing w:after="120" w:line="276" w:lineRule="auto"/>
        <w:contextualSpacing/>
        <w:jc w:val="both"/>
        <w:rPr>
          <w:b/>
        </w:rPr>
      </w:pPr>
      <w:r>
        <w:rPr>
          <w:b/>
        </w:rPr>
        <w:t>„მუხლი 6</w:t>
      </w:r>
      <w:r>
        <w:rPr>
          <w:b/>
          <w:vertAlign w:val="superscript"/>
        </w:rPr>
        <w:t>1</w:t>
      </w:r>
      <w:r>
        <w:rPr>
          <w:b/>
        </w:rPr>
        <w:t xml:space="preserve">. </w:t>
      </w:r>
      <w:r w:rsidRPr="000E4B13">
        <w:rPr>
          <w:b/>
        </w:rPr>
        <w:t>აღიარებულ ორგანიზებულ ბაზარზე ახალი ფასიანი ქაღალდების სავაჭროდ დაშვება</w:t>
      </w:r>
    </w:p>
    <w:p w14:paraId="58DC32E4" w14:textId="02687224" w:rsidR="00AA1702" w:rsidRPr="00423499" w:rsidRDefault="000E4B13" w:rsidP="009A5C5A">
      <w:pPr>
        <w:spacing w:after="120" w:line="276" w:lineRule="auto"/>
        <w:contextualSpacing/>
        <w:jc w:val="both"/>
        <w:rPr>
          <w:lang w:val="en-US"/>
        </w:rPr>
      </w:pPr>
      <w:r>
        <w:t>1.</w:t>
      </w:r>
      <w:r w:rsidR="009A5C5A">
        <w:t xml:space="preserve"> </w:t>
      </w:r>
      <w:r w:rsidR="009866EA" w:rsidRPr="009866EA">
        <w:t>დაუშვებელია აღიარებულ ორგანიზებულ ბაზარზე ახალი ფასიანი ქაღალდების სავაჭროდ დაშვება საქართველოს ეროვნული ბანკის წინასწარი</w:t>
      </w:r>
      <w:r w:rsidR="00D525CB">
        <w:t xml:space="preserve"> წერილობით</w:t>
      </w:r>
      <w:r w:rsidR="00953447">
        <w:t>ი</w:t>
      </w:r>
      <w:r w:rsidR="009866EA" w:rsidRPr="009866EA">
        <w:t xml:space="preserve"> თანხმობის გარეშე. საქართველოს ეროვნული ბანკი </w:t>
      </w:r>
      <w:r w:rsidR="0098455D" w:rsidRPr="009866EA">
        <w:t xml:space="preserve">აღიარებულ ორგანიზებულ ბაზარზე ახალი ფასიანი ქაღალდების სავაჭროდ </w:t>
      </w:r>
      <w:r w:rsidR="0098455D">
        <w:t xml:space="preserve">დაშვების თაობაზე </w:t>
      </w:r>
      <w:r w:rsidR="009866EA" w:rsidRPr="009866EA">
        <w:t xml:space="preserve">თანხმობის </w:t>
      </w:r>
      <w:r w:rsidR="0098455D">
        <w:t>გა</w:t>
      </w:r>
      <w:r w:rsidR="009866EA" w:rsidRPr="009866EA">
        <w:t xml:space="preserve">ცემის ან უარის თქმის შესახებ გადაწყვეტილებას იღებს აღიარებული ორგანიზებული ბაზრის მიერ </w:t>
      </w:r>
      <w:r w:rsidR="00B522EC">
        <w:t>შესაბამისი</w:t>
      </w:r>
      <w:r w:rsidR="009866EA" w:rsidRPr="009866EA">
        <w:t xml:space="preserve"> </w:t>
      </w:r>
      <w:r w:rsidR="00A63BFE">
        <w:t>განცხადების</w:t>
      </w:r>
      <w:r w:rsidR="00A63BFE" w:rsidRPr="009866EA">
        <w:t xml:space="preserve"> </w:t>
      </w:r>
      <w:r w:rsidR="009866EA" w:rsidRPr="009866EA">
        <w:t xml:space="preserve">და თანდართული დოკუმენტაციის წარდგენიდან 10 </w:t>
      </w:r>
      <w:r w:rsidR="002B720A">
        <w:t>(ათი)</w:t>
      </w:r>
      <w:r w:rsidR="009866EA" w:rsidRPr="009866EA">
        <w:t xml:space="preserve"> სამუშაო დღის ვადაში. თუ აღნიშნულ ვადაში აღიარებულ ორგანიზებულ ბაზარს საქართველოს ეროვნული ბანკის მიერ პასუხი არ ეცნობა, ფასიანი ქაღალდი აღიარებულ ორგანიზებულ ბაზარზე დაშვებულად მიიჩნევა.</w:t>
      </w:r>
    </w:p>
    <w:p w14:paraId="1AD0DA16" w14:textId="7C17BB93" w:rsidR="00ED6105" w:rsidRDefault="008011A9" w:rsidP="00ED6105">
      <w:pPr>
        <w:spacing w:after="120" w:line="276" w:lineRule="auto"/>
        <w:contextualSpacing/>
        <w:jc w:val="both"/>
      </w:pPr>
      <w:r>
        <w:t>2.</w:t>
      </w:r>
      <w:r w:rsidR="008E2AD6">
        <w:t xml:space="preserve"> </w:t>
      </w:r>
      <w:r w:rsidR="00B10069" w:rsidRPr="00B10069">
        <w:rPr>
          <w:lang w:val="eu-ES"/>
        </w:rPr>
        <w:t xml:space="preserve">ამ მუხლის </w:t>
      </w:r>
      <w:r>
        <w:t>პირველი</w:t>
      </w:r>
      <w:r w:rsidR="00B10069" w:rsidRPr="00B10069">
        <w:rPr>
          <w:lang w:val="eu-ES"/>
        </w:rPr>
        <w:t xml:space="preserve"> პუნქტით გათვალისწინებულ </w:t>
      </w:r>
      <w:r w:rsidR="00A63BFE">
        <w:t>განცხადებას</w:t>
      </w:r>
      <w:r w:rsidR="00A63BFE" w:rsidRPr="00B10069">
        <w:rPr>
          <w:lang w:val="eu-ES"/>
        </w:rPr>
        <w:t xml:space="preserve"> </w:t>
      </w:r>
      <w:r w:rsidR="00B10069" w:rsidRPr="00B10069">
        <w:rPr>
          <w:lang w:val="eu-ES"/>
        </w:rPr>
        <w:t xml:space="preserve">თან უნდა დაერთოს შემდეგი </w:t>
      </w:r>
      <w:r w:rsidR="00B10069" w:rsidRPr="00B10069">
        <w:t>ინფორმაცია</w:t>
      </w:r>
      <w:r w:rsidR="00C8241F">
        <w:t>/</w:t>
      </w:r>
      <w:r w:rsidR="00B10069" w:rsidRPr="00B10069">
        <w:rPr>
          <w:lang w:val="eu-ES"/>
        </w:rPr>
        <w:t>დოკუმენტაცია:</w:t>
      </w:r>
    </w:p>
    <w:p w14:paraId="594B488B" w14:textId="557F2018" w:rsidR="000A370D" w:rsidRPr="000A370D" w:rsidRDefault="000A370D" w:rsidP="000A370D">
      <w:pPr>
        <w:spacing w:after="120" w:line="276" w:lineRule="auto"/>
        <w:contextualSpacing/>
        <w:jc w:val="both"/>
        <w:rPr>
          <w:lang w:val="eu-ES"/>
        </w:rPr>
      </w:pPr>
      <w:r w:rsidRPr="000A370D">
        <w:rPr>
          <w:lang w:val="eu-ES"/>
        </w:rPr>
        <w:t xml:space="preserve">ა) </w:t>
      </w:r>
      <w:r w:rsidRPr="000A370D">
        <w:t xml:space="preserve">აღიარებულ ორგანიზებულ ბაზარზე </w:t>
      </w:r>
      <w:r w:rsidRPr="000A370D">
        <w:rPr>
          <w:lang w:val="eu-ES"/>
        </w:rPr>
        <w:t xml:space="preserve">დაშვების შესახებ ემიტენტის </w:t>
      </w:r>
      <w:r w:rsidR="00AE6E9B">
        <w:t>განცხადების</w:t>
      </w:r>
      <w:r w:rsidR="00025C7A">
        <w:t>ა</w:t>
      </w:r>
      <w:r w:rsidR="00AE6E9B" w:rsidRPr="000A370D">
        <w:rPr>
          <w:lang w:val="eu-ES"/>
        </w:rPr>
        <w:t xml:space="preserve"> </w:t>
      </w:r>
      <w:r w:rsidRPr="000A370D">
        <w:rPr>
          <w:lang w:val="eu-ES"/>
        </w:rPr>
        <w:t>და მასზე თანდართული სრული დოკუმენტაციის ასლი;</w:t>
      </w:r>
    </w:p>
    <w:p w14:paraId="382AF26F" w14:textId="08FF2285" w:rsidR="000A370D" w:rsidRPr="000A370D" w:rsidRDefault="000A370D" w:rsidP="000A370D">
      <w:pPr>
        <w:spacing w:after="120" w:line="276" w:lineRule="auto"/>
        <w:contextualSpacing/>
        <w:jc w:val="both"/>
        <w:rPr>
          <w:lang w:val="eu-ES"/>
        </w:rPr>
      </w:pPr>
      <w:r w:rsidRPr="000A370D">
        <w:rPr>
          <w:lang w:val="eu-ES"/>
        </w:rPr>
        <w:t xml:space="preserve">ბ) </w:t>
      </w:r>
      <w:r w:rsidR="00E64A5D">
        <w:t>თუ ორგანიზებულ ბაზრად აღიარებულია საფონდო ბირჟის შესაბამისი სალისტი</w:t>
      </w:r>
      <w:r w:rsidR="008011A9">
        <w:t>ნ</w:t>
      </w:r>
      <w:r w:rsidR="00E64A5D">
        <w:t>გო სეგმენტი,</w:t>
      </w:r>
      <w:r w:rsidRPr="000A370D">
        <w:t xml:space="preserve"> აღიარებული ორგანიზებული ბაზრის </w:t>
      </w:r>
      <w:r w:rsidRPr="000A370D">
        <w:rPr>
          <w:lang w:val="eu-ES"/>
        </w:rPr>
        <w:t>ლისტინგის სამსახურის დასკვნის ასლი;</w:t>
      </w:r>
    </w:p>
    <w:p w14:paraId="62A3626A" w14:textId="3EDC0E13" w:rsidR="000A370D" w:rsidRDefault="000A370D" w:rsidP="000A370D">
      <w:pPr>
        <w:spacing w:after="120" w:line="276" w:lineRule="auto"/>
        <w:contextualSpacing/>
        <w:jc w:val="both"/>
      </w:pPr>
      <w:r w:rsidRPr="000A370D">
        <w:rPr>
          <w:lang w:val="eu-ES"/>
        </w:rPr>
        <w:t xml:space="preserve">გ) </w:t>
      </w:r>
      <w:r w:rsidRPr="000A370D">
        <w:t xml:space="preserve">აღიარებული ორგანიზებული ბაზრის </w:t>
      </w:r>
      <w:r w:rsidRPr="000A370D">
        <w:rPr>
          <w:lang w:val="eu-ES"/>
        </w:rPr>
        <w:t>სამეთვალყურეო საბჭოს გადაწყვეტილების ასლი.</w:t>
      </w:r>
    </w:p>
    <w:p w14:paraId="31037166" w14:textId="1B14CCDD" w:rsidR="008011A9" w:rsidRPr="000A370D" w:rsidRDefault="008011A9" w:rsidP="000A370D">
      <w:pPr>
        <w:spacing w:after="120" w:line="276" w:lineRule="auto"/>
        <w:contextualSpacing/>
        <w:jc w:val="both"/>
        <w:rPr>
          <w:lang w:val="en-US"/>
        </w:rPr>
      </w:pPr>
      <w:r>
        <w:t>3</w:t>
      </w:r>
      <w:r w:rsidRPr="008011A9">
        <w:rPr>
          <w:lang w:val="en-US"/>
        </w:rPr>
        <w:t xml:space="preserve">. ამ მუხლის </w:t>
      </w:r>
      <w:r w:rsidR="007F7197">
        <w:t xml:space="preserve">პირველ და </w:t>
      </w:r>
      <w:r>
        <w:t>მე-2</w:t>
      </w:r>
      <w:r w:rsidRPr="008011A9">
        <w:rPr>
          <w:lang w:val="en-US"/>
        </w:rPr>
        <w:t xml:space="preserve"> პუნქტ</w:t>
      </w:r>
      <w:r w:rsidR="007F7197">
        <w:t>ებ</w:t>
      </w:r>
      <w:r w:rsidRPr="008011A9">
        <w:rPr>
          <w:lang w:val="en-US"/>
        </w:rPr>
        <w:t xml:space="preserve">ში მითითებული </w:t>
      </w:r>
      <w:r w:rsidR="002D183C">
        <w:t>ინფორმაციის/</w:t>
      </w:r>
      <w:r w:rsidRPr="008011A9">
        <w:rPr>
          <w:lang w:val="en-US"/>
        </w:rPr>
        <w:t>დოკუმენტაციის წარდგენა საქართველოს ეროვნულ ბანკში შესაძლებელია როგორც მატერიალ</w:t>
      </w:r>
      <w:r w:rsidR="00C8241F">
        <w:t>ურ</w:t>
      </w:r>
      <w:r w:rsidRPr="008011A9">
        <w:rPr>
          <w:lang w:val="en-US"/>
        </w:rPr>
        <w:t>ი/დოკუმენტური სახით, ასევე ელექტრონული ფორმით, ჩაწერილი ელექტრონულ მატარებლებზე (CD დისკზე).</w:t>
      </w:r>
    </w:p>
    <w:p w14:paraId="72E56048" w14:textId="7D4E4807" w:rsidR="000A370D" w:rsidRDefault="008011A9" w:rsidP="000A370D">
      <w:pPr>
        <w:spacing w:after="120" w:line="276" w:lineRule="auto"/>
        <w:contextualSpacing/>
        <w:jc w:val="both"/>
      </w:pPr>
      <w:r>
        <w:lastRenderedPageBreak/>
        <w:t xml:space="preserve">4. </w:t>
      </w:r>
      <w:r w:rsidR="000A370D" w:rsidRPr="000A370D">
        <w:rPr>
          <w:lang w:val="eu-ES"/>
        </w:rPr>
        <w:t>საქართველოს ეროვნულ ბანკს უფლება</w:t>
      </w:r>
      <w:r w:rsidR="000B74D1">
        <w:t xml:space="preserve"> აქვს</w:t>
      </w:r>
      <w:r w:rsidR="000A370D" w:rsidRPr="000A370D">
        <w:rPr>
          <w:lang w:val="eu-ES"/>
        </w:rPr>
        <w:t xml:space="preserve">, </w:t>
      </w:r>
      <w:r w:rsidR="00A63BFE">
        <w:t>განცხადების</w:t>
      </w:r>
      <w:r w:rsidR="000A370D" w:rsidRPr="000A370D">
        <w:rPr>
          <w:lang w:val="eu-ES"/>
        </w:rPr>
        <w:t xml:space="preserve"> განხილვისას აღიარებულ ორგანიზებულ ბაზარს მოსთხოვოს დამატებითი ინფორმაციის </w:t>
      </w:r>
      <w:r w:rsidR="00B10069">
        <w:t xml:space="preserve">ან/და დოკუმენტაციის </w:t>
      </w:r>
      <w:r w:rsidR="000A370D" w:rsidRPr="000A370D">
        <w:rPr>
          <w:lang w:val="eu-ES"/>
        </w:rPr>
        <w:t>წარდგენა</w:t>
      </w:r>
      <w:r w:rsidR="00B10069">
        <w:t xml:space="preserve"> და განუსაზღვროს მას </w:t>
      </w:r>
      <w:r w:rsidR="00B10069" w:rsidRPr="00B10069">
        <w:rPr>
          <w:lang w:val="eu-ES"/>
        </w:rPr>
        <w:t>აღნიშნული ინფორმაციის ან/და დოკუმენტაციის წარდგენის ფორმა და ვადა</w:t>
      </w:r>
      <w:r w:rsidR="000A370D" w:rsidRPr="000A370D">
        <w:rPr>
          <w:lang w:val="eu-ES"/>
        </w:rPr>
        <w:t xml:space="preserve">. დამატებითი </w:t>
      </w:r>
      <w:r w:rsidR="00B10069">
        <w:t>ინფორმაციის ან/და დოკუმენტაციის</w:t>
      </w:r>
      <w:r w:rsidR="000A370D" w:rsidRPr="000A370D">
        <w:rPr>
          <w:lang w:val="eu-ES"/>
        </w:rPr>
        <w:t xml:space="preserve"> წარდგენამდე განცხადების განხილვის ვადის დინება შეჩერებულად ითვლება.</w:t>
      </w:r>
      <w:r w:rsidR="000A370D">
        <w:t>“</w:t>
      </w:r>
      <w:r w:rsidR="00C03223">
        <w:rPr>
          <w:lang w:val="en-US"/>
        </w:rPr>
        <w:t>;</w:t>
      </w:r>
    </w:p>
    <w:p w14:paraId="64AB8CAF" w14:textId="77777777" w:rsidR="008011A9" w:rsidRPr="008B76DE" w:rsidRDefault="008011A9" w:rsidP="000A370D">
      <w:pPr>
        <w:spacing w:after="120" w:line="276" w:lineRule="auto"/>
        <w:jc w:val="both"/>
        <w:rPr>
          <w:lang w:val="en-US"/>
        </w:rPr>
      </w:pPr>
    </w:p>
    <w:p w14:paraId="24411062" w14:textId="5F1A95CD" w:rsidR="008011A9" w:rsidRPr="008B76DE" w:rsidRDefault="008011A9" w:rsidP="000A370D">
      <w:pPr>
        <w:spacing w:after="120" w:line="276" w:lineRule="auto"/>
        <w:jc w:val="both"/>
        <w:rPr>
          <w:b/>
          <w:lang w:val="en-US"/>
        </w:rPr>
      </w:pPr>
      <w:r w:rsidRPr="008B76DE">
        <w:rPr>
          <w:b/>
        </w:rPr>
        <w:t xml:space="preserve">ბ) მე-9 მუხლის </w:t>
      </w:r>
      <w:r w:rsidR="00C03223">
        <w:rPr>
          <w:b/>
        </w:rPr>
        <w:t>მე-</w:t>
      </w:r>
      <w:r w:rsidRPr="008B76DE">
        <w:rPr>
          <w:b/>
        </w:rPr>
        <w:t>3-3</w:t>
      </w:r>
      <w:r w:rsidRPr="008B76DE">
        <w:rPr>
          <w:b/>
          <w:vertAlign w:val="superscript"/>
        </w:rPr>
        <w:t>3</w:t>
      </w:r>
      <w:r w:rsidRPr="008B76DE">
        <w:rPr>
          <w:b/>
        </w:rPr>
        <w:t xml:space="preserve"> პუნქტები ამოღებულ იქნეს. </w:t>
      </w:r>
    </w:p>
    <w:p w14:paraId="78ADC8FD" w14:textId="77777777" w:rsidR="00ED6105" w:rsidRPr="00ED6105" w:rsidRDefault="00ED6105" w:rsidP="00ED6105">
      <w:pPr>
        <w:spacing w:after="120" w:line="276" w:lineRule="auto"/>
        <w:jc w:val="both"/>
      </w:pPr>
    </w:p>
    <w:p w14:paraId="5060748A" w14:textId="3F2E3BDD" w:rsidR="000910BA" w:rsidRPr="00657521" w:rsidRDefault="000910BA" w:rsidP="008E2AD6">
      <w:pPr>
        <w:spacing w:after="60" w:line="276" w:lineRule="auto"/>
        <w:jc w:val="both"/>
        <w:rPr>
          <w:b/>
        </w:rPr>
      </w:pPr>
      <w:r w:rsidRPr="00657521">
        <w:rPr>
          <w:b/>
        </w:rPr>
        <w:t xml:space="preserve">მუხლი 2 </w:t>
      </w:r>
    </w:p>
    <w:p w14:paraId="1F63BABC" w14:textId="7978A8DF" w:rsidR="00692074" w:rsidRPr="00657521" w:rsidRDefault="00692074" w:rsidP="008E2AD6">
      <w:pPr>
        <w:spacing w:after="60" w:line="276" w:lineRule="auto"/>
        <w:jc w:val="both"/>
      </w:pPr>
      <w:r w:rsidRPr="00657521">
        <w:t>ეს ბრძანება ამოქმედდეს გამოქვეყნებისთანავე</w:t>
      </w:r>
      <w:r w:rsidR="008B76DE">
        <w:t>.</w:t>
      </w:r>
    </w:p>
    <w:p w14:paraId="4FFF87A7" w14:textId="77777777" w:rsidR="00432B04" w:rsidRDefault="00432B04" w:rsidP="008E2AD6">
      <w:pPr>
        <w:spacing w:after="120" w:line="276" w:lineRule="auto"/>
        <w:jc w:val="both"/>
      </w:pPr>
    </w:p>
    <w:p w14:paraId="1903E4D7" w14:textId="77777777" w:rsidR="00657521" w:rsidRDefault="00657521" w:rsidP="008E2AD6">
      <w:pPr>
        <w:spacing w:after="120" w:line="276" w:lineRule="auto"/>
        <w:jc w:val="both"/>
      </w:pPr>
    </w:p>
    <w:p w14:paraId="456ED769" w14:textId="4184D3CA" w:rsidR="00657521" w:rsidRPr="00657521" w:rsidRDefault="00657521" w:rsidP="008E2AD6">
      <w:pPr>
        <w:spacing w:line="276" w:lineRule="auto"/>
        <w:rPr>
          <w:rFonts w:cs="Sylfaen"/>
          <w:b/>
          <w:noProof/>
        </w:rPr>
      </w:pPr>
      <w:r w:rsidRPr="00E277B4">
        <w:rPr>
          <w:rFonts w:cs="Sylfaen"/>
          <w:b/>
          <w:noProof/>
        </w:rPr>
        <w:t xml:space="preserve">საქართველოს ეროვნული ბანკის პრეზიდენტი      </w:t>
      </w:r>
      <w:r w:rsidR="008B76DE">
        <w:rPr>
          <w:rFonts w:cs="Sylfaen"/>
          <w:b/>
          <w:noProof/>
        </w:rPr>
        <w:t xml:space="preserve">                                               </w:t>
      </w:r>
      <w:r w:rsidR="008B76DE" w:rsidRPr="008B76DE">
        <w:rPr>
          <w:rFonts w:cs="Sylfaen"/>
          <w:b/>
          <w:i/>
          <w:noProof/>
        </w:rPr>
        <w:t>ნათელა თურნავა</w:t>
      </w:r>
      <w:r w:rsidRPr="00E277B4">
        <w:rPr>
          <w:rFonts w:cs="Sylfaen"/>
          <w:b/>
          <w:noProof/>
        </w:rPr>
        <w:t xml:space="preserve">                                                                </w:t>
      </w:r>
      <w:r w:rsidR="00D2242E">
        <w:rPr>
          <w:rFonts w:cs="Sylfaen"/>
          <w:b/>
          <w:noProof/>
        </w:rPr>
        <w:t xml:space="preserve">       </w:t>
      </w:r>
      <w:r w:rsidR="004A7F7A">
        <w:rPr>
          <w:rFonts w:cs="Sylfaen"/>
          <w:b/>
          <w:noProof/>
        </w:rPr>
        <w:t xml:space="preserve">            </w:t>
      </w:r>
      <w:r w:rsidRPr="00E277B4">
        <w:rPr>
          <w:rFonts w:cs="Sylfaen"/>
          <w:b/>
          <w:noProof/>
        </w:rPr>
        <w:t xml:space="preserve"> </w:t>
      </w:r>
    </w:p>
    <w:sectPr w:rsidR="00657521" w:rsidRPr="00657521" w:rsidSect="008E2AD6">
      <w:headerReference w:type="first" r:id="rId10"/>
      <w:pgSz w:w="11906" w:h="16838" w:code="9"/>
      <w:pgMar w:top="1440" w:right="1080" w:bottom="1440" w:left="1080" w:header="720" w:footer="107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1017E6" w14:textId="77777777" w:rsidR="00180889" w:rsidRDefault="00180889">
      <w:pPr>
        <w:spacing w:after="0" w:line="240" w:lineRule="auto"/>
      </w:pPr>
    </w:p>
  </w:endnote>
  <w:endnote w:type="continuationSeparator" w:id="0">
    <w:p w14:paraId="661A8E6C" w14:textId="77777777" w:rsidR="00180889" w:rsidRDefault="0018088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98F17B" w14:textId="77777777" w:rsidR="00180889" w:rsidRDefault="00180889">
      <w:pPr>
        <w:spacing w:after="0" w:line="240" w:lineRule="auto"/>
      </w:pPr>
    </w:p>
  </w:footnote>
  <w:footnote w:type="continuationSeparator" w:id="0">
    <w:p w14:paraId="43062E5A" w14:textId="77777777" w:rsidR="00180889" w:rsidRDefault="0018088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028EEF" w14:textId="77777777" w:rsidR="002A4DD3" w:rsidRPr="002A4DD3" w:rsidRDefault="002A4DD3" w:rsidP="002A4DD3">
    <w:pPr>
      <w:spacing w:after="600"/>
      <w:jc w:val="right"/>
      <w:rPr>
        <w:b/>
        <w:sz w:val="24"/>
      </w:rPr>
    </w:pPr>
    <w:r w:rsidRPr="006348B0">
      <w:rPr>
        <w:rFonts w:cs="Sylfaen"/>
        <w:i/>
        <w:noProof/>
        <w:u w:val="single"/>
      </w:rPr>
      <w:t>პროექტი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A872F8"/>
    <w:multiLevelType w:val="hybridMultilevel"/>
    <w:tmpl w:val="892CCAE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5F2"/>
    <w:rsid w:val="00017512"/>
    <w:rsid w:val="00025C7A"/>
    <w:rsid w:val="00025DE5"/>
    <w:rsid w:val="00042392"/>
    <w:rsid w:val="00050F07"/>
    <w:rsid w:val="00072DD2"/>
    <w:rsid w:val="000910BA"/>
    <w:rsid w:val="000A370D"/>
    <w:rsid w:val="000B74D1"/>
    <w:rsid w:val="000B7A5F"/>
    <w:rsid w:val="000E4B13"/>
    <w:rsid w:val="000E7127"/>
    <w:rsid w:val="00112DAF"/>
    <w:rsid w:val="00180889"/>
    <w:rsid w:val="001A5CB2"/>
    <w:rsid w:val="001B26C5"/>
    <w:rsid w:val="001D1565"/>
    <w:rsid w:val="001D6751"/>
    <w:rsid w:val="001F3632"/>
    <w:rsid w:val="002026CE"/>
    <w:rsid w:val="00240961"/>
    <w:rsid w:val="00255841"/>
    <w:rsid w:val="00294BC6"/>
    <w:rsid w:val="002A4DD3"/>
    <w:rsid w:val="002B720A"/>
    <w:rsid w:val="002B7B98"/>
    <w:rsid w:val="002D183C"/>
    <w:rsid w:val="002D7C92"/>
    <w:rsid w:val="002E1BEA"/>
    <w:rsid w:val="0030358C"/>
    <w:rsid w:val="00311E0A"/>
    <w:rsid w:val="003140F7"/>
    <w:rsid w:val="003B5F79"/>
    <w:rsid w:val="003D21CD"/>
    <w:rsid w:val="003D30E7"/>
    <w:rsid w:val="003D3A1E"/>
    <w:rsid w:val="004015A7"/>
    <w:rsid w:val="00423499"/>
    <w:rsid w:val="00432B04"/>
    <w:rsid w:val="00455186"/>
    <w:rsid w:val="00472BC7"/>
    <w:rsid w:val="00477C98"/>
    <w:rsid w:val="004A7F7A"/>
    <w:rsid w:val="004D2D9B"/>
    <w:rsid w:val="004D6908"/>
    <w:rsid w:val="004F2C07"/>
    <w:rsid w:val="0051782A"/>
    <w:rsid w:val="0052743E"/>
    <w:rsid w:val="00536196"/>
    <w:rsid w:val="005374FA"/>
    <w:rsid w:val="00546CF4"/>
    <w:rsid w:val="00555FD7"/>
    <w:rsid w:val="0059101F"/>
    <w:rsid w:val="00595682"/>
    <w:rsid w:val="005A6530"/>
    <w:rsid w:val="005E054F"/>
    <w:rsid w:val="006045F2"/>
    <w:rsid w:val="00643950"/>
    <w:rsid w:val="00657521"/>
    <w:rsid w:val="006610BE"/>
    <w:rsid w:val="006625E3"/>
    <w:rsid w:val="006674E9"/>
    <w:rsid w:val="00692074"/>
    <w:rsid w:val="006A4CB4"/>
    <w:rsid w:val="006A649A"/>
    <w:rsid w:val="006B7EAE"/>
    <w:rsid w:val="006E6DC5"/>
    <w:rsid w:val="006F42AD"/>
    <w:rsid w:val="006F6B41"/>
    <w:rsid w:val="00726679"/>
    <w:rsid w:val="007536EE"/>
    <w:rsid w:val="00766D31"/>
    <w:rsid w:val="00770AAB"/>
    <w:rsid w:val="007820C4"/>
    <w:rsid w:val="007C7C70"/>
    <w:rsid w:val="007E41D5"/>
    <w:rsid w:val="007F6C37"/>
    <w:rsid w:val="007F7197"/>
    <w:rsid w:val="008011A9"/>
    <w:rsid w:val="0080281A"/>
    <w:rsid w:val="008079E3"/>
    <w:rsid w:val="00826D48"/>
    <w:rsid w:val="00853130"/>
    <w:rsid w:val="008906DD"/>
    <w:rsid w:val="00896187"/>
    <w:rsid w:val="008A3780"/>
    <w:rsid w:val="008B76DE"/>
    <w:rsid w:val="008C4806"/>
    <w:rsid w:val="008D47EB"/>
    <w:rsid w:val="008E2AD6"/>
    <w:rsid w:val="00953447"/>
    <w:rsid w:val="00954398"/>
    <w:rsid w:val="0098371B"/>
    <w:rsid w:val="0098455D"/>
    <w:rsid w:val="009866EA"/>
    <w:rsid w:val="0099554D"/>
    <w:rsid w:val="009A5C5A"/>
    <w:rsid w:val="009A5E4E"/>
    <w:rsid w:val="009C183B"/>
    <w:rsid w:val="009D0607"/>
    <w:rsid w:val="009D073E"/>
    <w:rsid w:val="009F1DF6"/>
    <w:rsid w:val="00A361E8"/>
    <w:rsid w:val="00A63BFE"/>
    <w:rsid w:val="00A73A3C"/>
    <w:rsid w:val="00A93493"/>
    <w:rsid w:val="00AA1702"/>
    <w:rsid w:val="00AB5FED"/>
    <w:rsid w:val="00AE2DBF"/>
    <w:rsid w:val="00AE6E9B"/>
    <w:rsid w:val="00B10069"/>
    <w:rsid w:val="00B34197"/>
    <w:rsid w:val="00B522EC"/>
    <w:rsid w:val="00B821D1"/>
    <w:rsid w:val="00B857ED"/>
    <w:rsid w:val="00BE4C09"/>
    <w:rsid w:val="00BE7800"/>
    <w:rsid w:val="00C03223"/>
    <w:rsid w:val="00C16519"/>
    <w:rsid w:val="00C21AF4"/>
    <w:rsid w:val="00C36B12"/>
    <w:rsid w:val="00C46DA3"/>
    <w:rsid w:val="00C71B7D"/>
    <w:rsid w:val="00C8241F"/>
    <w:rsid w:val="00CA42ED"/>
    <w:rsid w:val="00CB6306"/>
    <w:rsid w:val="00D1281A"/>
    <w:rsid w:val="00D1536D"/>
    <w:rsid w:val="00D2242E"/>
    <w:rsid w:val="00D2652B"/>
    <w:rsid w:val="00D37F4E"/>
    <w:rsid w:val="00D524A4"/>
    <w:rsid w:val="00D525CB"/>
    <w:rsid w:val="00DC0FAD"/>
    <w:rsid w:val="00DF2B39"/>
    <w:rsid w:val="00DF5132"/>
    <w:rsid w:val="00E37938"/>
    <w:rsid w:val="00E4664A"/>
    <w:rsid w:val="00E61144"/>
    <w:rsid w:val="00E64A5D"/>
    <w:rsid w:val="00E94BF9"/>
    <w:rsid w:val="00E97F0D"/>
    <w:rsid w:val="00EA728B"/>
    <w:rsid w:val="00ED0F39"/>
    <w:rsid w:val="00ED48FF"/>
    <w:rsid w:val="00ED6105"/>
    <w:rsid w:val="00EF03EE"/>
    <w:rsid w:val="00EF47C6"/>
    <w:rsid w:val="00F105CA"/>
    <w:rsid w:val="00F37195"/>
    <w:rsid w:val="00F77F4E"/>
    <w:rsid w:val="00F77F55"/>
    <w:rsid w:val="00FC78EA"/>
    <w:rsid w:val="00FC7FAF"/>
    <w:rsid w:val="00FE5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860122"/>
  <w15:chartTrackingRefBased/>
  <w15:docId w15:val="{7FCC81A4-2605-4EDF-B041-A7A976BA4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74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524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24A4"/>
    <w:rPr>
      <w:lang w:val="ka-GE"/>
    </w:rPr>
  </w:style>
  <w:style w:type="paragraph" w:styleId="Footer">
    <w:name w:val="footer"/>
    <w:basedOn w:val="Normal"/>
    <w:link w:val="FooterChar"/>
    <w:uiPriority w:val="99"/>
    <w:unhideWhenUsed/>
    <w:rsid w:val="00D524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24A4"/>
    <w:rPr>
      <w:lang w:val="ka-G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17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1702"/>
    <w:rPr>
      <w:rFonts w:ascii="Segoe UI" w:hAnsi="Segoe UI" w:cs="Segoe UI"/>
      <w:sz w:val="18"/>
      <w:szCs w:val="18"/>
      <w:lang w:val="ka-GE"/>
    </w:rPr>
  </w:style>
  <w:style w:type="character" w:styleId="CommentReference">
    <w:name w:val="annotation reference"/>
    <w:basedOn w:val="DefaultParagraphFont"/>
    <w:uiPriority w:val="99"/>
    <w:semiHidden/>
    <w:unhideWhenUsed/>
    <w:rsid w:val="00E64A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4A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4A5D"/>
    <w:rPr>
      <w:sz w:val="20"/>
      <w:szCs w:val="20"/>
      <w:lang w:val="ka-G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4A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4A5D"/>
    <w:rPr>
      <w:b/>
      <w:bCs/>
      <w:sz w:val="20"/>
      <w:szCs w:val="20"/>
      <w:lang w:val="ka-G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rappedLabelHistory xmlns:xsd="http://www.w3.org/2001/XMLSchema" xmlns:xsi="http://www.w3.org/2001/XMLSchema-instance" xmlns="http://www.boldonjames.com/2016/02/Classifier/internal/wrappedLabelHistory">
  <Value>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I1YWIwMjdlMy05N2Y1LTRmMmItYjI0Mi0xODlmODRmMWJmZmUiIG9yaWdpbj0idXNlclNlbGVjdGVkIiAvPjxVc2VyTmFtZT5TRUJcbGFuZGd1bGFkemU8L1VzZXJOYW1lPjxEYXRlVGltZT4xLzE4LzIwMjQgNzoxOTo0MSBBTTwvRGF0ZVRpbWU+PExhYmVsU3RyaW5nPlRoaXMgaXRlbSBoYXMgbm8gY2xhc3NpZmljYXRpb248L0xhYmVsU3RyaW5nPjwvaXRlbT48L2xhYmVsSGlzdG9yeT4=</Value>
</WrappedLabelHistory>
</file>

<file path=customXml/item2.xml><?xml version="1.0" encoding="utf-8"?>
<sisl xmlns:xsd="http://www.w3.org/2001/XMLSchema" xmlns:xsi="http://www.w3.org/2001/XMLSchema-instance" xmlns="http://www.boldonjames.com/2008/01/sie/internal/label" sislVersion="0" policy="5ab027e3-97f5-4f2b-b242-189f84f1bffe" origin="userSelected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87FB7E-39F1-47B8-B8A5-3AC33566C16D}">
  <ds:schemaRefs>
    <ds:schemaRef ds:uri="http://www.w3.org/2001/XMLSchema"/>
    <ds:schemaRef ds:uri="http://www.boldonjames.com/2016/02/Classifier/internal/wrappedLabelHistory"/>
  </ds:schemaRefs>
</ds:datastoreItem>
</file>

<file path=customXml/itemProps2.xml><?xml version="1.0" encoding="utf-8"?>
<ds:datastoreItem xmlns:ds="http://schemas.openxmlformats.org/officeDocument/2006/customXml" ds:itemID="{179B6B9B-205F-4FEB-9621-B7A362AF41FA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F28FD281-DD29-499B-8D48-B60A271D0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838</TotalTime>
  <Pages>2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 Andguladze</dc:creator>
  <cp:keywords/>
  <dc:description/>
  <cp:lastModifiedBy>Elene Tevzadze</cp:lastModifiedBy>
  <cp:revision>106</cp:revision>
  <dcterms:created xsi:type="dcterms:W3CDTF">2024-01-18T07:06:00Z</dcterms:created>
  <dcterms:modified xsi:type="dcterms:W3CDTF">2026-01-15T08:50:00Z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8b0aad97-607e-4e5a-b09c-3729455014fa</vt:lpwstr>
  </property>
  <property fmtid="{D5CDD505-2E9C-101B-9397-08002B2CF9AE}" pid="3" name="bjSaver">
    <vt:lpwstr>6bok6v2aNtK5+7zHWHoq0HUZutldVvFd</vt:lpwstr>
  </property>
  <property fmtid="{D5CDD505-2E9C-101B-9397-08002B2CF9AE}" pid="4" name="bjDocumentSecurityLabel">
    <vt:lpwstr>This item has no classification</vt:lpwstr>
  </property>
  <property fmtid="{D5CDD505-2E9C-101B-9397-08002B2CF9AE}" pid="5" name="bjClsUserRVM">
    <vt:lpwstr>[]</vt:lpwstr>
  </property>
  <property fmtid="{D5CDD505-2E9C-101B-9397-08002B2CF9AE}" pid="6" name="bjLabelHistoryID">
    <vt:lpwstr>{F087FB7E-39F1-47B8-B8A5-3AC33566C16D}</vt:lpwstr>
  </property>
</Properties>
</file>