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12E71" w14:textId="77777777" w:rsidR="00D72E9B" w:rsidRPr="00752788" w:rsidRDefault="00D72E9B" w:rsidP="00D72E9B">
      <w:pPr>
        <w:jc w:val="right"/>
        <w:rPr>
          <w:rFonts w:eastAsia="Times New Roman"/>
          <w:b/>
          <w:i/>
          <w:lang w:val="ka-GE"/>
        </w:rPr>
      </w:pPr>
      <w:r w:rsidRPr="00752788">
        <w:rPr>
          <w:rFonts w:eastAsia="Times New Roman"/>
          <w:b/>
          <w:i/>
          <w:lang w:val="ka-GE"/>
        </w:rPr>
        <w:t>პროექტი</w:t>
      </w:r>
    </w:p>
    <w:p w14:paraId="0BFF923A" w14:textId="77777777" w:rsidR="00D72E9B" w:rsidRPr="00752788" w:rsidRDefault="00D72E9B" w:rsidP="00D72E9B">
      <w:pPr>
        <w:jc w:val="center"/>
        <w:rPr>
          <w:rFonts w:eastAsia="Times New Roman"/>
          <w:b/>
          <w:lang w:val="ka-GE"/>
        </w:rPr>
      </w:pPr>
    </w:p>
    <w:p w14:paraId="66996122" w14:textId="77777777" w:rsidR="00D72E9B" w:rsidRPr="00752788" w:rsidRDefault="00D72E9B" w:rsidP="00D72E9B">
      <w:pPr>
        <w:spacing w:line="276" w:lineRule="auto"/>
        <w:jc w:val="center"/>
        <w:rPr>
          <w:b/>
          <w:lang w:val="ka-GE"/>
        </w:rPr>
      </w:pPr>
      <w:r w:rsidRPr="00752788">
        <w:rPr>
          <w:b/>
          <w:lang w:val="ka-GE"/>
        </w:rPr>
        <w:t>საქართველოს ეროვნული ბანკის პრეზიდენტის</w:t>
      </w:r>
    </w:p>
    <w:p w14:paraId="253039AF" w14:textId="77777777" w:rsidR="00D72E9B" w:rsidRPr="00752788" w:rsidRDefault="00D72E9B" w:rsidP="00D72E9B">
      <w:pPr>
        <w:spacing w:after="120" w:line="276" w:lineRule="auto"/>
        <w:jc w:val="center"/>
        <w:rPr>
          <w:b/>
          <w:lang w:val="ka-GE"/>
        </w:rPr>
      </w:pPr>
      <w:r w:rsidRPr="00752788">
        <w:rPr>
          <w:b/>
          <w:lang w:val="ka-GE"/>
        </w:rPr>
        <w:t xml:space="preserve"> ბრძანება №...</w:t>
      </w:r>
    </w:p>
    <w:p w14:paraId="4621AA5E" w14:textId="77777777" w:rsidR="00D72E9B" w:rsidRPr="00752788" w:rsidRDefault="00D72E9B" w:rsidP="00D72E9B">
      <w:pPr>
        <w:spacing w:after="120" w:line="276" w:lineRule="auto"/>
        <w:jc w:val="center"/>
        <w:rPr>
          <w:lang w:val="ka-GE"/>
        </w:rPr>
      </w:pPr>
      <w:r w:rsidRPr="00752788">
        <w:rPr>
          <w:b/>
          <w:lang w:val="ka-GE"/>
        </w:rPr>
        <w:t>2026 წლის -- ---------</w:t>
      </w:r>
      <w:r w:rsidRPr="00752788">
        <w:rPr>
          <w:lang w:val="ka-GE"/>
        </w:rPr>
        <w:t xml:space="preserve"> </w:t>
      </w:r>
    </w:p>
    <w:p w14:paraId="1491B00B" w14:textId="77777777" w:rsidR="00D72E9B" w:rsidRPr="00752788" w:rsidRDefault="00D72E9B" w:rsidP="00D72E9B">
      <w:pPr>
        <w:spacing w:line="276" w:lineRule="auto"/>
        <w:jc w:val="center"/>
        <w:rPr>
          <w:b/>
          <w:lang w:val="ka-GE"/>
        </w:rPr>
      </w:pPr>
      <w:r w:rsidRPr="00752788">
        <w:rPr>
          <w:b/>
          <w:lang w:val="ka-GE"/>
        </w:rPr>
        <w:t>ქ. თბილისი</w:t>
      </w:r>
    </w:p>
    <w:p w14:paraId="341B4BF2" w14:textId="29AE7E3D" w:rsidR="008E2A73" w:rsidRDefault="00D72E9B" w:rsidP="00D72E9B">
      <w:pPr>
        <w:jc w:val="center"/>
        <w:rPr>
          <w:rFonts w:eastAsia="Times New Roman"/>
          <w:b/>
          <w:lang w:val="ka-GE"/>
        </w:rPr>
      </w:pPr>
      <w:r w:rsidRPr="00752788">
        <w:rPr>
          <w:rFonts w:eastAsia="Times New Roman"/>
          <w:b/>
          <w:lang w:val="ka-GE"/>
        </w:rPr>
        <w:t xml:space="preserve"> „საბროკერო კომპანიის ლიცენზირებისა და რეგულირების წესის დამტკიცების </w:t>
      </w:r>
      <w:r w:rsidR="00982C6A" w:rsidRPr="00752788">
        <w:rPr>
          <w:rFonts w:eastAsia="Times New Roman"/>
          <w:b/>
          <w:lang w:val="ka-GE"/>
        </w:rPr>
        <w:t xml:space="preserve">თაობაზე“ </w:t>
      </w:r>
      <w:r w:rsidRPr="00752788">
        <w:rPr>
          <w:b/>
          <w:lang w:val="ka-GE"/>
        </w:rPr>
        <w:t xml:space="preserve">საქართველოს ეროვნული ბანკის პრეზიდენტის 2018 წლის 5 ივლისის </w:t>
      </w:r>
      <w:r w:rsidRPr="00752788">
        <w:rPr>
          <w:rFonts w:eastAsia="Times New Roman"/>
          <w:b/>
          <w:lang w:val="ka-GE"/>
        </w:rPr>
        <w:t>№145/04 ბრძანებაში ცვ</w:t>
      </w:r>
      <w:r w:rsidR="00602BD9">
        <w:rPr>
          <w:rFonts w:eastAsia="Times New Roman"/>
          <w:b/>
          <w:lang w:val="ka-GE"/>
        </w:rPr>
        <w:t>ლ</w:t>
      </w:r>
      <w:r w:rsidRPr="00752788">
        <w:rPr>
          <w:rFonts w:eastAsia="Times New Roman"/>
          <w:b/>
          <w:lang w:val="ka-GE"/>
        </w:rPr>
        <w:t xml:space="preserve">ილების შეტანის </w:t>
      </w:r>
      <w:r w:rsidR="00982C6A" w:rsidRPr="00752788">
        <w:rPr>
          <w:rFonts w:eastAsia="Times New Roman"/>
          <w:b/>
          <w:lang w:val="ka-GE"/>
        </w:rPr>
        <w:t>შესახებ</w:t>
      </w:r>
    </w:p>
    <w:p w14:paraId="7EA412E7" w14:textId="77777777" w:rsidR="00626A6F" w:rsidRPr="00752788" w:rsidRDefault="00626A6F" w:rsidP="00D72E9B">
      <w:pPr>
        <w:jc w:val="center"/>
        <w:rPr>
          <w:rFonts w:eastAsia="Times New Roman"/>
          <w:b/>
          <w:lang w:val="ka-GE"/>
        </w:rPr>
      </w:pPr>
    </w:p>
    <w:p w14:paraId="163D545D" w14:textId="62ED7377" w:rsidR="00D72E9B" w:rsidRPr="00752788" w:rsidRDefault="00D72E9B" w:rsidP="00D72E9B">
      <w:pPr>
        <w:jc w:val="both"/>
        <w:rPr>
          <w:b/>
          <w:lang w:val="ka-GE"/>
        </w:rPr>
      </w:pPr>
      <w:r w:rsidRPr="00752788">
        <w:rPr>
          <w:lang w:val="ka-GE"/>
        </w:rPr>
        <w:t>„საქართველოს ეროვნული ბანკის შესახებ“ საქართველოს ორგანული კანონის მე</w:t>
      </w:r>
      <w:r w:rsidR="009D1EF2" w:rsidRPr="00752788">
        <w:rPr>
          <w:lang w:val="ka-GE"/>
        </w:rPr>
        <w:t>-</w:t>
      </w:r>
      <w:r w:rsidRPr="00752788">
        <w:rPr>
          <w:lang w:val="ka-GE"/>
        </w:rPr>
        <w:t xml:space="preserve">15 მუხლის პირველი პუნქტის „ზ“ ქვეპუნქტისა და „ნორმატიული აქტების შესახებ“ საქართველოს ორგანული კანონის მე-20 მუხლის მე-4 პუნქტის საფუძველზე, </w:t>
      </w:r>
      <w:r w:rsidRPr="00752788">
        <w:rPr>
          <w:b/>
          <w:lang w:val="ka-GE"/>
        </w:rPr>
        <w:t xml:space="preserve">ვბრძანებ: </w:t>
      </w:r>
    </w:p>
    <w:p w14:paraId="49DA3845" w14:textId="77777777" w:rsidR="00D72E9B" w:rsidRPr="00752788" w:rsidRDefault="00D72E9B" w:rsidP="00D72E9B">
      <w:pPr>
        <w:spacing w:after="60" w:line="276" w:lineRule="auto"/>
        <w:contextualSpacing/>
        <w:jc w:val="both"/>
        <w:rPr>
          <w:b/>
          <w:lang w:val="ka-GE"/>
        </w:rPr>
      </w:pPr>
      <w:r w:rsidRPr="00752788">
        <w:rPr>
          <w:b/>
          <w:lang w:val="ka-GE"/>
        </w:rPr>
        <w:t>მუხლი 1</w:t>
      </w:r>
    </w:p>
    <w:p w14:paraId="53AD89A7" w14:textId="39DE0F20" w:rsidR="00AB03B4" w:rsidRPr="00752788" w:rsidRDefault="00D72E9B" w:rsidP="00D72E9B">
      <w:pPr>
        <w:jc w:val="both"/>
        <w:rPr>
          <w:rFonts w:eastAsia="Times New Roman"/>
          <w:lang w:val="ka-GE"/>
        </w:rPr>
      </w:pPr>
      <w:r w:rsidRPr="00752788">
        <w:rPr>
          <w:rFonts w:eastAsia="Times New Roman"/>
          <w:lang w:val="ka-GE"/>
        </w:rPr>
        <w:t xml:space="preserve">„საბროკერო კომპანიის ლიცენზირებისა და რეგულირების წესის დამტკიცების </w:t>
      </w:r>
      <w:r w:rsidR="00982C6A" w:rsidRPr="00752788">
        <w:rPr>
          <w:rFonts w:eastAsia="Times New Roman"/>
          <w:lang w:val="ka-GE"/>
        </w:rPr>
        <w:t xml:space="preserve">თაობაზე“ </w:t>
      </w:r>
      <w:r w:rsidRPr="00752788">
        <w:rPr>
          <w:lang w:val="ka-GE"/>
        </w:rPr>
        <w:t xml:space="preserve">საქართველოს ეროვნული ბანკის პრეზიდენტის 2018 წლის 5 ივლისის </w:t>
      </w:r>
      <w:r w:rsidRPr="00752788">
        <w:rPr>
          <w:rFonts w:eastAsia="Times New Roman"/>
          <w:lang w:val="ka-GE"/>
        </w:rPr>
        <w:t>№145/04 ბრძანებით (</w:t>
      </w:r>
      <w:hyperlink r:id="rId10" w:history="1">
        <w:r w:rsidRPr="00752788">
          <w:rPr>
            <w:rStyle w:val="Hyperlink"/>
            <w:lang w:val="ka-GE"/>
          </w:rPr>
          <w:t>www.matsne.gov.ge</w:t>
        </w:r>
      </w:hyperlink>
      <w:r w:rsidRPr="00752788">
        <w:rPr>
          <w:lang w:val="ka-GE"/>
        </w:rPr>
        <w:t>, 0</w:t>
      </w:r>
      <w:r w:rsidR="00982C6A" w:rsidRPr="00752788">
        <w:rPr>
          <w:lang w:val="ka-GE"/>
        </w:rPr>
        <w:t>6</w:t>
      </w:r>
      <w:r w:rsidRPr="00752788">
        <w:rPr>
          <w:lang w:val="ka-GE"/>
        </w:rPr>
        <w:t>/07/2018</w:t>
      </w:r>
      <w:r w:rsidR="000004BB" w:rsidRPr="00752788">
        <w:rPr>
          <w:lang w:val="ka-GE"/>
        </w:rPr>
        <w:t>;</w:t>
      </w:r>
      <w:r w:rsidRPr="00752788">
        <w:rPr>
          <w:lang w:val="ka-GE"/>
        </w:rPr>
        <w:t xml:space="preserve"> </w:t>
      </w:r>
      <w:r w:rsidR="000004BB" w:rsidRPr="00752788">
        <w:rPr>
          <w:lang w:val="ka-GE"/>
        </w:rPr>
        <w:t xml:space="preserve">ს/კ: </w:t>
      </w:r>
      <w:r w:rsidRPr="00752788">
        <w:rPr>
          <w:lang w:val="ka-GE"/>
        </w:rPr>
        <w:t xml:space="preserve">350090000.18.011.016321) </w:t>
      </w:r>
      <w:r w:rsidR="00AB03B4" w:rsidRPr="00752788">
        <w:rPr>
          <w:rFonts w:eastAsia="Times New Roman"/>
          <w:lang w:val="ka-GE"/>
        </w:rPr>
        <w:t xml:space="preserve">დამტკიცებულ წესში </w:t>
      </w:r>
      <w:r w:rsidR="00982C6A" w:rsidRPr="00752788">
        <w:rPr>
          <w:rFonts w:eastAsia="Times New Roman"/>
          <w:lang w:val="ka-GE"/>
        </w:rPr>
        <w:t xml:space="preserve">შეტანილ იქნეს </w:t>
      </w:r>
      <w:r w:rsidR="00AB03B4" w:rsidRPr="00752788">
        <w:rPr>
          <w:rFonts w:eastAsia="Times New Roman"/>
          <w:lang w:val="ka-GE"/>
        </w:rPr>
        <w:t xml:space="preserve">შემდეგი ცვლილება: </w:t>
      </w:r>
    </w:p>
    <w:p w14:paraId="4386BCA9" w14:textId="100E9783" w:rsidR="00912FC0" w:rsidRPr="00752788" w:rsidRDefault="00EA652D" w:rsidP="00A71CD1">
      <w:pPr>
        <w:spacing w:after="0"/>
        <w:contextualSpacing/>
        <w:jc w:val="both"/>
        <w:rPr>
          <w:rFonts w:eastAsia="Times New Roman"/>
          <w:b/>
          <w:lang w:val="ka-GE"/>
        </w:rPr>
      </w:pPr>
      <w:r w:rsidRPr="00752788">
        <w:rPr>
          <w:rFonts w:eastAsia="Times New Roman"/>
          <w:b/>
          <w:lang w:val="ka-GE"/>
        </w:rPr>
        <w:t>1.</w:t>
      </w:r>
      <w:r w:rsidR="00AB03B4" w:rsidRPr="00752788">
        <w:rPr>
          <w:rFonts w:eastAsia="Times New Roman"/>
          <w:b/>
          <w:lang w:val="ka-GE"/>
        </w:rPr>
        <w:t xml:space="preserve"> </w:t>
      </w:r>
      <w:r w:rsidR="00912FC0" w:rsidRPr="00752788">
        <w:rPr>
          <w:rFonts w:eastAsia="Times New Roman"/>
          <w:b/>
          <w:lang w:val="ka-GE"/>
        </w:rPr>
        <w:t>მე-2 მუხლის პირველ</w:t>
      </w:r>
      <w:r w:rsidRPr="00752788">
        <w:rPr>
          <w:rFonts w:eastAsia="Times New Roman"/>
          <w:b/>
          <w:lang w:val="ka-GE"/>
        </w:rPr>
        <w:t>ი</w:t>
      </w:r>
      <w:r w:rsidR="00912FC0" w:rsidRPr="00752788">
        <w:rPr>
          <w:rFonts w:eastAsia="Times New Roman"/>
          <w:b/>
          <w:lang w:val="ka-GE"/>
        </w:rPr>
        <w:t xml:space="preserve"> პუნქტ</w:t>
      </w:r>
      <w:r w:rsidRPr="00752788">
        <w:rPr>
          <w:rFonts w:eastAsia="Times New Roman"/>
          <w:b/>
          <w:lang w:val="ka-GE"/>
        </w:rPr>
        <w:t>ი</w:t>
      </w:r>
      <w:r w:rsidR="00912FC0" w:rsidRPr="00752788">
        <w:rPr>
          <w:rFonts w:eastAsia="Times New Roman"/>
          <w:b/>
          <w:lang w:val="ka-GE"/>
        </w:rPr>
        <w:t>ს</w:t>
      </w:r>
      <w:r w:rsidRPr="00752788">
        <w:rPr>
          <w:rFonts w:eastAsia="Times New Roman"/>
          <w:b/>
          <w:lang w:val="ka-GE"/>
        </w:rPr>
        <w:t xml:space="preserve"> „ე“ ქვეპუნქტის შემდეგ</w:t>
      </w:r>
      <w:r w:rsidR="00912FC0" w:rsidRPr="00752788">
        <w:rPr>
          <w:rFonts w:eastAsia="Times New Roman"/>
          <w:b/>
          <w:lang w:val="ka-GE"/>
        </w:rPr>
        <w:t xml:space="preserve"> დაემატოს შემდეგი შინაარსის „</w:t>
      </w:r>
      <w:r w:rsidR="007E10AA" w:rsidRPr="00752788">
        <w:rPr>
          <w:rFonts w:eastAsia="Times New Roman"/>
          <w:b/>
          <w:lang w:val="ka-GE"/>
        </w:rPr>
        <w:t>ვ</w:t>
      </w:r>
      <w:r w:rsidR="00912FC0" w:rsidRPr="00752788">
        <w:rPr>
          <w:rFonts w:eastAsia="Times New Roman"/>
          <w:b/>
          <w:lang w:val="ka-GE"/>
        </w:rPr>
        <w:t xml:space="preserve">“ ქვეპუნქტი: </w:t>
      </w:r>
    </w:p>
    <w:p w14:paraId="230075F0" w14:textId="2893D049" w:rsidR="00912FC0" w:rsidRDefault="00912FC0" w:rsidP="00A71CD1">
      <w:pPr>
        <w:pStyle w:val="NormalWeb"/>
        <w:spacing w:before="0" w:beforeAutospacing="0" w:after="0" w:afterAutospacing="0"/>
        <w:contextualSpacing/>
        <w:jc w:val="both"/>
        <w:rPr>
          <w:rFonts w:ascii="Sylfaen" w:eastAsia="Times New Roman" w:hAnsi="Sylfaen" w:cstheme="minorBidi"/>
          <w:sz w:val="22"/>
          <w:szCs w:val="22"/>
        </w:rPr>
      </w:pPr>
      <w:r w:rsidRPr="00752788">
        <w:rPr>
          <w:rFonts w:ascii="Sylfaen" w:eastAsia="Times New Roman" w:hAnsi="Sylfaen" w:cstheme="minorBidi"/>
          <w:sz w:val="22"/>
          <w:szCs w:val="22"/>
          <w:lang w:val="ka-GE"/>
        </w:rPr>
        <w:t>„</w:t>
      </w:r>
      <w:r w:rsidR="00E805A7" w:rsidRPr="00752788">
        <w:rPr>
          <w:rFonts w:ascii="Sylfaen" w:eastAsia="Times New Roman" w:hAnsi="Sylfaen" w:cstheme="minorBidi"/>
          <w:sz w:val="22"/>
          <w:szCs w:val="22"/>
          <w:lang w:val="ka-GE"/>
        </w:rPr>
        <w:t>ვ</w:t>
      </w:r>
      <w:r w:rsidRPr="00752788">
        <w:rPr>
          <w:rFonts w:ascii="Sylfaen" w:eastAsia="Times New Roman" w:hAnsi="Sylfaen" w:cstheme="minorBidi"/>
          <w:sz w:val="22"/>
          <w:szCs w:val="22"/>
          <w:lang w:val="ka-GE"/>
        </w:rPr>
        <w:t>) მმართველობის ანგარიშგება - „ბუღალტრული აღრიცხვის, ანგარიშგებისა და აუდიტის შესახებ“ საქართველოს კანონის მე-7 მუხლით განსაზღვრული ანგარიშგება.“</w:t>
      </w:r>
      <w:r w:rsidR="00626A6F">
        <w:rPr>
          <w:rFonts w:ascii="Sylfaen" w:eastAsia="Times New Roman" w:hAnsi="Sylfaen" w:cstheme="minorBidi"/>
          <w:sz w:val="22"/>
          <w:szCs w:val="22"/>
          <w:lang w:val="ka-GE"/>
        </w:rPr>
        <w:t>.</w:t>
      </w:r>
    </w:p>
    <w:p w14:paraId="7664B941" w14:textId="77777777" w:rsidR="00752788" w:rsidRPr="00752788" w:rsidRDefault="00752788" w:rsidP="00752788">
      <w:pPr>
        <w:pStyle w:val="NormalWeb"/>
        <w:spacing w:before="0" w:beforeAutospacing="0" w:after="0" w:afterAutospacing="0"/>
        <w:contextualSpacing/>
        <w:jc w:val="both"/>
        <w:rPr>
          <w:rFonts w:ascii="Sylfaen" w:eastAsia="Times New Roman" w:hAnsi="Sylfaen" w:cstheme="minorBidi"/>
          <w:sz w:val="22"/>
          <w:szCs w:val="22"/>
        </w:rPr>
      </w:pPr>
    </w:p>
    <w:p w14:paraId="63B94A28" w14:textId="233D3C6E" w:rsidR="008F2E6B" w:rsidRPr="00752788" w:rsidRDefault="00EA652D" w:rsidP="00A71CD1">
      <w:pPr>
        <w:spacing w:after="0"/>
        <w:contextualSpacing/>
        <w:jc w:val="both"/>
        <w:rPr>
          <w:rFonts w:eastAsia="Times New Roman"/>
          <w:b/>
          <w:lang w:val="ka-GE"/>
        </w:rPr>
      </w:pPr>
      <w:r w:rsidRPr="00752788">
        <w:rPr>
          <w:rFonts w:eastAsia="Times New Roman"/>
          <w:b/>
          <w:lang w:val="ka-GE"/>
        </w:rPr>
        <w:t>2.</w:t>
      </w:r>
      <w:r w:rsidR="003027BB" w:rsidRPr="00752788">
        <w:rPr>
          <w:rFonts w:eastAsia="Times New Roman"/>
          <w:b/>
          <w:lang w:val="ka-GE"/>
        </w:rPr>
        <w:t xml:space="preserve"> </w:t>
      </w:r>
      <w:r w:rsidR="00762C56" w:rsidRPr="00752788">
        <w:rPr>
          <w:rFonts w:eastAsia="Times New Roman"/>
          <w:b/>
          <w:lang w:val="ka-GE"/>
        </w:rPr>
        <w:t>მე-3 მუხლ</w:t>
      </w:r>
      <w:r w:rsidR="00E805A7" w:rsidRPr="00752788">
        <w:rPr>
          <w:rFonts w:eastAsia="Times New Roman"/>
          <w:b/>
          <w:lang w:val="ka-GE"/>
        </w:rPr>
        <w:t>ი</w:t>
      </w:r>
      <w:r w:rsidR="00632B4F" w:rsidRPr="00752788">
        <w:rPr>
          <w:rFonts w:eastAsia="Times New Roman"/>
          <w:b/>
          <w:lang w:val="ka-GE"/>
        </w:rPr>
        <w:t xml:space="preserve">ს: </w:t>
      </w:r>
    </w:p>
    <w:p w14:paraId="565ED5CB" w14:textId="6D91966C" w:rsidR="008F2E6B" w:rsidRPr="00752788" w:rsidRDefault="008F2E6B" w:rsidP="00A71CD1">
      <w:pPr>
        <w:spacing w:after="0"/>
        <w:contextualSpacing/>
        <w:jc w:val="both"/>
        <w:rPr>
          <w:rFonts w:eastAsia="Times New Roman"/>
          <w:b/>
          <w:lang w:val="ka-GE"/>
        </w:rPr>
      </w:pPr>
      <w:r w:rsidRPr="00752788">
        <w:rPr>
          <w:rFonts w:eastAsia="Times New Roman"/>
          <w:b/>
          <w:lang w:val="ka-GE"/>
        </w:rPr>
        <w:t xml:space="preserve">ა) </w:t>
      </w:r>
      <w:r w:rsidR="00632B4F" w:rsidRPr="00752788">
        <w:rPr>
          <w:rFonts w:eastAsia="Times New Roman"/>
          <w:b/>
          <w:lang w:val="ka-GE"/>
        </w:rPr>
        <w:t>პირველ</w:t>
      </w:r>
      <w:r w:rsidR="00E805A7" w:rsidRPr="00752788">
        <w:rPr>
          <w:rFonts w:eastAsia="Times New Roman"/>
          <w:b/>
          <w:lang w:val="ka-GE"/>
        </w:rPr>
        <w:t>ი</w:t>
      </w:r>
      <w:r w:rsidR="00632B4F" w:rsidRPr="00752788">
        <w:rPr>
          <w:rFonts w:eastAsia="Times New Roman"/>
          <w:b/>
          <w:lang w:val="ka-GE"/>
        </w:rPr>
        <w:t xml:space="preserve"> პუნქტ</w:t>
      </w:r>
      <w:r w:rsidR="00E805A7" w:rsidRPr="00752788">
        <w:rPr>
          <w:rFonts w:eastAsia="Times New Roman"/>
          <w:b/>
          <w:lang w:val="ka-GE"/>
        </w:rPr>
        <w:t>ი</w:t>
      </w:r>
      <w:r w:rsidR="00632B4F" w:rsidRPr="00752788">
        <w:rPr>
          <w:rFonts w:eastAsia="Times New Roman"/>
          <w:b/>
          <w:lang w:val="ka-GE"/>
        </w:rPr>
        <w:t xml:space="preserve">ს </w:t>
      </w:r>
      <w:r w:rsidR="00E805A7" w:rsidRPr="00752788">
        <w:rPr>
          <w:rFonts w:eastAsia="Times New Roman"/>
          <w:b/>
          <w:lang w:val="ka-GE"/>
        </w:rPr>
        <w:t xml:space="preserve">„გ.ბ.გ“ ქვეპუნქტის შემდეგ </w:t>
      </w:r>
      <w:r w:rsidR="00632B4F" w:rsidRPr="00752788">
        <w:rPr>
          <w:rFonts w:eastAsia="Times New Roman"/>
          <w:b/>
          <w:lang w:val="ka-GE"/>
        </w:rPr>
        <w:t xml:space="preserve">დაემატოს </w:t>
      </w:r>
      <w:r w:rsidRPr="00752788">
        <w:rPr>
          <w:rFonts w:eastAsia="Times New Roman"/>
          <w:b/>
          <w:lang w:val="ka-GE"/>
        </w:rPr>
        <w:t>შემდეგი შინაარსის „გ.ბ.</w:t>
      </w:r>
      <w:r w:rsidR="00E805A7" w:rsidRPr="00752788">
        <w:rPr>
          <w:rFonts w:eastAsia="Times New Roman"/>
          <w:b/>
          <w:lang w:val="ka-GE"/>
        </w:rPr>
        <w:t>დ</w:t>
      </w:r>
      <w:r w:rsidRPr="00752788">
        <w:rPr>
          <w:rFonts w:eastAsia="Times New Roman"/>
          <w:b/>
          <w:lang w:val="ka-GE"/>
        </w:rPr>
        <w:t xml:space="preserve">“ ქვეპუნქტი: </w:t>
      </w:r>
    </w:p>
    <w:p w14:paraId="0F3CB0DB" w14:textId="33ABB4BF" w:rsidR="008F2E6B" w:rsidRPr="00752788" w:rsidRDefault="008F2E6B" w:rsidP="00AB03B4">
      <w:pPr>
        <w:jc w:val="both"/>
        <w:rPr>
          <w:rFonts w:cs="Sylfaen"/>
          <w:lang w:val="ka-GE"/>
        </w:rPr>
      </w:pPr>
      <w:r w:rsidRPr="00752788">
        <w:rPr>
          <w:rFonts w:eastAsia="Times New Roman"/>
          <w:lang w:val="ka-GE"/>
        </w:rPr>
        <w:t>„გ.ბ.</w:t>
      </w:r>
      <w:r w:rsidR="00E805A7" w:rsidRPr="00752788">
        <w:rPr>
          <w:rFonts w:eastAsia="Times New Roman"/>
          <w:lang w:val="ka-GE"/>
        </w:rPr>
        <w:t>დ</w:t>
      </w:r>
      <w:r w:rsidR="00591249" w:rsidRPr="00752788">
        <w:rPr>
          <w:rFonts w:eastAsia="Times New Roman"/>
          <w:lang w:val="ka-GE"/>
        </w:rPr>
        <w:t>)</w:t>
      </w:r>
      <w:r w:rsidRPr="00752788">
        <w:rPr>
          <w:rFonts w:eastAsia="Times New Roman"/>
          <w:lang w:val="ka-GE"/>
        </w:rPr>
        <w:t xml:space="preserve"> </w:t>
      </w:r>
      <w:r w:rsidRPr="00752788">
        <w:rPr>
          <w:rFonts w:cs="Sylfaen"/>
          <w:lang w:val="ka-GE"/>
        </w:rPr>
        <w:t>ამ</w:t>
      </w:r>
      <w:r w:rsidRPr="00752788">
        <w:rPr>
          <w:lang w:val="ka-GE"/>
        </w:rPr>
        <w:t xml:space="preserve"> </w:t>
      </w:r>
      <w:r w:rsidRPr="00752788">
        <w:rPr>
          <w:rFonts w:cs="Sylfaen"/>
          <w:lang w:val="ka-GE"/>
        </w:rPr>
        <w:t>წესის</w:t>
      </w:r>
      <w:r w:rsidRPr="00752788">
        <w:rPr>
          <w:lang w:val="ka-GE"/>
        </w:rPr>
        <w:t xml:space="preserve"> </w:t>
      </w:r>
      <w:r w:rsidRPr="00752788">
        <w:rPr>
          <w:rFonts w:cs="Sylfaen"/>
          <w:lang w:val="ka-GE"/>
        </w:rPr>
        <w:t>დანართი</w:t>
      </w:r>
      <w:r w:rsidRPr="00752788">
        <w:rPr>
          <w:lang w:val="ka-GE"/>
        </w:rPr>
        <w:t xml:space="preserve"> №2-</w:t>
      </w:r>
      <w:r w:rsidRPr="00752788">
        <w:rPr>
          <w:rFonts w:cs="Sylfaen"/>
          <w:lang w:val="ka-GE"/>
        </w:rPr>
        <w:t>ის</w:t>
      </w:r>
      <w:r w:rsidRPr="00752788">
        <w:rPr>
          <w:lang w:val="ka-GE"/>
        </w:rPr>
        <w:t xml:space="preserve"> </w:t>
      </w:r>
      <w:r w:rsidRPr="00752788">
        <w:rPr>
          <w:rFonts w:cs="Sylfaen"/>
          <w:lang w:val="ka-GE"/>
        </w:rPr>
        <w:t>შესაბამისად</w:t>
      </w:r>
      <w:r w:rsidRPr="00752788">
        <w:rPr>
          <w:lang w:val="ka-GE"/>
        </w:rPr>
        <w:t xml:space="preserve"> </w:t>
      </w:r>
      <w:r w:rsidRPr="00752788">
        <w:rPr>
          <w:rFonts w:cs="Sylfaen"/>
          <w:lang w:val="ka-GE"/>
        </w:rPr>
        <w:t>შევსებულ</w:t>
      </w:r>
      <w:r w:rsidR="009961EA" w:rsidRPr="00752788">
        <w:rPr>
          <w:rFonts w:cs="Sylfaen"/>
          <w:lang w:val="ka-GE"/>
        </w:rPr>
        <w:t>ი</w:t>
      </w:r>
      <w:r w:rsidRPr="00752788">
        <w:rPr>
          <w:lang w:val="ka-GE"/>
        </w:rPr>
        <w:t xml:space="preserve"> </w:t>
      </w:r>
      <w:r w:rsidRPr="00752788">
        <w:rPr>
          <w:rFonts w:cs="Sylfaen"/>
          <w:lang w:val="ka-GE"/>
        </w:rPr>
        <w:t>დეკლარაცია.“</w:t>
      </w:r>
      <w:r w:rsidR="00E61191" w:rsidRPr="00752788">
        <w:rPr>
          <w:rFonts w:cs="Sylfaen"/>
          <w:lang w:val="ka-GE"/>
        </w:rPr>
        <w:t>;</w:t>
      </w:r>
    </w:p>
    <w:p w14:paraId="26596873" w14:textId="29C436C4" w:rsidR="00AB03B4" w:rsidRPr="00752788" w:rsidRDefault="008F2E6B" w:rsidP="00AB03B4">
      <w:pPr>
        <w:contextualSpacing/>
        <w:jc w:val="both"/>
        <w:rPr>
          <w:rFonts w:eastAsia="Times New Roman"/>
          <w:lang w:val="ka-GE"/>
        </w:rPr>
      </w:pPr>
      <w:r w:rsidRPr="00752788">
        <w:rPr>
          <w:rFonts w:cs="Sylfaen"/>
          <w:b/>
          <w:lang w:val="ka-GE"/>
        </w:rPr>
        <w:t>ბ)</w:t>
      </w:r>
      <w:r w:rsidRPr="00752788">
        <w:rPr>
          <w:rFonts w:eastAsia="Times New Roman"/>
          <w:b/>
          <w:lang w:val="ka-GE"/>
        </w:rPr>
        <w:t xml:space="preserve"> </w:t>
      </w:r>
      <w:r w:rsidR="000E208E" w:rsidRPr="00752788">
        <w:rPr>
          <w:rFonts w:eastAsia="Times New Roman"/>
          <w:b/>
          <w:lang w:val="ka-GE"/>
        </w:rPr>
        <w:t xml:space="preserve">მე-10 პუნქტის შემდეგ </w:t>
      </w:r>
      <w:r w:rsidR="00632B4F" w:rsidRPr="00752788">
        <w:rPr>
          <w:rFonts w:eastAsia="Times New Roman"/>
          <w:b/>
          <w:lang w:val="ka-GE"/>
        </w:rPr>
        <w:t>დაემატოს</w:t>
      </w:r>
      <w:r w:rsidR="00632B4F" w:rsidRPr="00752788">
        <w:rPr>
          <w:rFonts w:cs="Sylfaen"/>
          <w:lang w:val="ka-GE"/>
        </w:rPr>
        <w:t xml:space="preserve"> </w:t>
      </w:r>
      <w:r w:rsidR="00762C56" w:rsidRPr="00752788">
        <w:rPr>
          <w:rFonts w:eastAsia="Times New Roman"/>
          <w:b/>
          <w:lang w:val="ka-GE"/>
        </w:rPr>
        <w:t xml:space="preserve">შემდეგი შინაარსის </w:t>
      </w:r>
      <w:r w:rsidR="000E208E" w:rsidRPr="00752788">
        <w:rPr>
          <w:rFonts w:eastAsia="Times New Roman"/>
          <w:b/>
          <w:lang w:val="ka-GE"/>
        </w:rPr>
        <w:t>მე-11</w:t>
      </w:r>
      <w:r w:rsidR="00762C56" w:rsidRPr="00752788">
        <w:rPr>
          <w:rFonts w:eastAsia="Times New Roman"/>
          <w:b/>
          <w:vertAlign w:val="superscript"/>
          <w:lang w:val="ka-GE"/>
        </w:rPr>
        <w:t xml:space="preserve"> </w:t>
      </w:r>
      <w:r w:rsidR="00762C56" w:rsidRPr="00752788">
        <w:rPr>
          <w:rFonts w:eastAsia="Times New Roman"/>
          <w:b/>
          <w:lang w:val="ka-GE"/>
        </w:rPr>
        <w:t xml:space="preserve">პუნქტი: </w:t>
      </w:r>
    </w:p>
    <w:p w14:paraId="4F08C1AB" w14:textId="2BC40CDA" w:rsidR="00762C56" w:rsidRPr="00752788" w:rsidRDefault="00762C56" w:rsidP="00AB03B4">
      <w:pPr>
        <w:contextualSpacing/>
        <w:jc w:val="both"/>
        <w:rPr>
          <w:rFonts w:eastAsia="Times New Roman"/>
          <w:lang w:val="ka-GE"/>
        </w:rPr>
      </w:pPr>
      <w:r w:rsidRPr="00752788">
        <w:rPr>
          <w:rFonts w:eastAsia="Times New Roman"/>
          <w:lang w:val="ka-GE"/>
        </w:rPr>
        <w:t>„1</w:t>
      </w:r>
      <w:r w:rsidR="000E208E" w:rsidRPr="00752788">
        <w:rPr>
          <w:rFonts w:eastAsia="Times New Roman"/>
          <w:lang w:val="ka-GE"/>
        </w:rPr>
        <w:t>1</w:t>
      </w:r>
      <w:r w:rsidRPr="00752788">
        <w:rPr>
          <w:rFonts w:eastAsia="Times New Roman"/>
          <w:lang w:val="ka-GE"/>
        </w:rPr>
        <w:t>. ეროვნულ ბანკში წარდგენილი საქართველოს კანონმდებლობის შესაბამისად გაცემული ნასამართლობის შესახებ ცნობის</w:t>
      </w:r>
      <w:r w:rsidR="0045450D">
        <w:rPr>
          <w:rFonts w:eastAsia="Times New Roman"/>
          <w:lang w:val="ka-GE"/>
        </w:rPr>
        <w:t>/</w:t>
      </w:r>
      <w:r w:rsidR="0045450D" w:rsidRPr="0045450D">
        <w:rPr>
          <w:rFonts w:eastAsia="Times New Roman"/>
          <w:lang w:val="ka-GE"/>
        </w:rPr>
        <w:t>სისხლისსამართლებრივი პასუხისმგებლობის შესახებ</w:t>
      </w:r>
      <w:r w:rsidRPr="00752788">
        <w:rPr>
          <w:rFonts w:eastAsia="Times New Roman"/>
          <w:lang w:val="ka-GE"/>
        </w:rPr>
        <w:t xml:space="preserve"> </w:t>
      </w:r>
      <w:r w:rsidR="0045450D">
        <w:rPr>
          <w:rFonts w:eastAsia="Times New Roman"/>
          <w:lang w:val="ka-GE"/>
        </w:rPr>
        <w:t xml:space="preserve">ცნობის </w:t>
      </w:r>
      <w:r w:rsidRPr="00752788">
        <w:rPr>
          <w:rFonts w:eastAsia="Times New Roman"/>
          <w:lang w:val="ka-GE"/>
        </w:rPr>
        <w:t>გაცემის თარიღიდან გასული დრო არ უნდა აღემატებოდეს 15 კალენდარულ დღეს, ხოლო უცხო ქვეყნის უფლებამოსილი ორგანოს მიერ გაცემული ნასამართლობის შესახებ ცნობის</w:t>
      </w:r>
      <w:r w:rsidR="006D53B0">
        <w:rPr>
          <w:rFonts w:eastAsia="Times New Roman"/>
          <w:lang w:val="ka-GE"/>
        </w:rPr>
        <w:t>/სისხლისსამართლებრივი პასუხისმგებლობის შესახებ ცნობის</w:t>
      </w:r>
      <w:r w:rsidRPr="00752788">
        <w:rPr>
          <w:rFonts w:eastAsia="Times New Roman"/>
          <w:lang w:val="ka-GE"/>
        </w:rPr>
        <w:t xml:space="preserve"> გაცემის თარიღიდან გასული დრო არ უნდა აღემატებოდეს 60 კალენდარულ დღეს.“</w:t>
      </w:r>
      <w:r w:rsidR="00626A6F">
        <w:rPr>
          <w:rFonts w:eastAsia="Times New Roman"/>
          <w:lang w:val="ka-GE"/>
        </w:rPr>
        <w:t>.</w:t>
      </w:r>
    </w:p>
    <w:p w14:paraId="0C9853BA" w14:textId="77777777" w:rsidR="00752788" w:rsidRPr="00752788" w:rsidRDefault="00752788" w:rsidP="00AB03B4">
      <w:pPr>
        <w:jc w:val="both"/>
        <w:rPr>
          <w:rFonts w:eastAsia="Times New Roman"/>
          <w:b/>
          <w:lang w:val="ka-GE"/>
        </w:rPr>
      </w:pPr>
    </w:p>
    <w:p w14:paraId="5D1A58AB" w14:textId="4747A8A9" w:rsidR="00A8208D" w:rsidRPr="00752788" w:rsidRDefault="00A8208D" w:rsidP="00A71CD1">
      <w:pPr>
        <w:spacing w:after="0"/>
        <w:contextualSpacing/>
        <w:jc w:val="both"/>
        <w:rPr>
          <w:rFonts w:eastAsia="Times New Roman"/>
          <w:b/>
          <w:lang w:val="ka-GE"/>
        </w:rPr>
      </w:pPr>
      <w:r w:rsidRPr="00752788">
        <w:rPr>
          <w:rFonts w:eastAsia="Times New Roman"/>
          <w:b/>
          <w:lang w:val="ka-GE"/>
        </w:rPr>
        <w:t>3.</w:t>
      </w:r>
      <w:r w:rsidR="00762C56" w:rsidRPr="00752788">
        <w:rPr>
          <w:rFonts w:eastAsia="Times New Roman"/>
          <w:b/>
          <w:lang w:val="ka-GE"/>
        </w:rPr>
        <w:t xml:space="preserve"> </w:t>
      </w:r>
      <w:r w:rsidR="000004BB" w:rsidRPr="00752788">
        <w:rPr>
          <w:rFonts w:eastAsia="Times New Roman"/>
          <w:b/>
          <w:lang w:val="ka-GE"/>
        </w:rPr>
        <w:t>მე-10 მუხლ</w:t>
      </w:r>
      <w:r w:rsidRPr="00752788">
        <w:rPr>
          <w:rFonts w:eastAsia="Times New Roman"/>
          <w:b/>
          <w:lang w:val="ka-GE"/>
        </w:rPr>
        <w:t>ი</w:t>
      </w:r>
      <w:r w:rsidR="000004BB" w:rsidRPr="00752788">
        <w:rPr>
          <w:rFonts w:eastAsia="Times New Roman"/>
          <w:b/>
          <w:lang w:val="ka-GE"/>
        </w:rPr>
        <w:t>ს</w:t>
      </w:r>
      <w:r w:rsidRPr="00752788">
        <w:rPr>
          <w:rFonts w:eastAsia="Times New Roman"/>
          <w:b/>
          <w:lang w:val="ka-GE"/>
        </w:rPr>
        <w:t>:</w:t>
      </w:r>
    </w:p>
    <w:p w14:paraId="1DFA9850" w14:textId="0427849A" w:rsidR="00D72E9B" w:rsidRPr="00752788" w:rsidRDefault="00A8208D" w:rsidP="00A71CD1">
      <w:pPr>
        <w:spacing w:after="0"/>
        <w:contextualSpacing/>
        <w:jc w:val="both"/>
        <w:rPr>
          <w:rFonts w:eastAsia="Times New Roman"/>
          <w:b/>
          <w:lang w:val="ka-GE"/>
        </w:rPr>
      </w:pPr>
      <w:r w:rsidRPr="00752788">
        <w:rPr>
          <w:rFonts w:eastAsia="Times New Roman"/>
          <w:b/>
          <w:lang w:val="ka-GE"/>
        </w:rPr>
        <w:t>ა)</w:t>
      </w:r>
      <w:r w:rsidR="009D531A" w:rsidRPr="00752788">
        <w:rPr>
          <w:rFonts w:eastAsia="Times New Roman"/>
          <w:b/>
          <w:lang w:val="ka-GE"/>
        </w:rPr>
        <w:t xml:space="preserve"> პირველი პუნქტის შემდეგ</w:t>
      </w:r>
      <w:r w:rsidRPr="00752788">
        <w:rPr>
          <w:rFonts w:eastAsia="Times New Roman"/>
          <w:b/>
          <w:lang w:val="ka-GE"/>
        </w:rPr>
        <w:t xml:space="preserve"> </w:t>
      </w:r>
      <w:r w:rsidR="000004BB" w:rsidRPr="00752788">
        <w:rPr>
          <w:rFonts w:eastAsia="Times New Roman"/>
          <w:b/>
          <w:lang w:val="ka-GE"/>
        </w:rPr>
        <w:t xml:space="preserve">დაემატოს შემდეგი შინაარსის </w:t>
      </w:r>
      <w:r w:rsidR="00F761AF" w:rsidRPr="00752788">
        <w:rPr>
          <w:rFonts w:eastAsia="Times New Roman"/>
          <w:b/>
          <w:lang w:val="ka-GE"/>
        </w:rPr>
        <w:t>1</w:t>
      </w:r>
      <w:r w:rsidR="00F761AF" w:rsidRPr="00752788">
        <w:rPr>
          <w:rFonts w:eastAsia="Times New Roman"/>
          <w:b/>
          <w:vertAlign w:val="superscript"/>
          <w:lang w:val="ka-GE"/>
        </w:rPr>
        <w:t>1</w:t>
      </w:r>
      <w:r w:rsidR="00F761AF" w:rsidRPr="00752788">
        <w:rPr>
          <w:rFonts w:eastAsia="Times New Roman"/>
          <w:b/>
          <w:lang w:val="ka-GE"/>
        </w:rPr>
        <w:t xml:space="preserve"> </w:t>
      </w:r>
      <w:r w:rsidR="000004BB" w:rsidRPr="00752788">
        <w:rPr>
          <w:rFonts w:eastAsia="Times New Roman"/>
          <w:b/>
          <w:lang w:val="ka-GE"/>
        </w:rPr>
        <w:t xml:space="preserve">პუნქტი: </w:t>
      </w:r>
    </w:p>
    <w:p w14:paraId="31B1EAB6" w14:textId="6374E9E9" w:rsidR="00F761AF" w:rsidRDefault="00ED441D" w:rsidP="00A71CD1">
      <w:pPr>
        <w:spacing w:after="0"/>
        <w:contextualSpacing/>
        <w:jc w:val="both"/>
        <w:rPr>
          <w:rFonts w:eastAsia="Times New Roman"/>
          <w:lang w:val="ka-GE"/>
        </w:rPr>
      </w:pPr>
      <w:r w:rsidRPr="00752788">
        <w:rPr>
          <w:rFonts w:eastAsia="Times New Roman"/>
          <w:lang w:val="ka-GE"/>
        </w:rPr>
        <w:lastRenderedPageBreak/>
        <w:t>„</w:t>
      </w:r>
      <w:r w:rsidR="00F761AF" w:rsidRPr="00752788">
        <w:rPr>
          <w:rFonts w:eastAsia="Times New Roman"/>
          <w:lang w:val="ka-GE"/>
        </w:rPr>
        <w:t>1</w:t>
      </w:r>
      <w:r w:rsidR="00F761AF" w:rsidRPr="00752788">
        <w:rPr>
          <w:rFonts w:eastAsia="Times New Roman"/>
          <w:vertAlign w:val="superscript"/>
          <w:lang w:val="ka-GE"/>
        </w:rPr>
        <w:t>1</w:t>
      </w:r>
      <w:r w:rsidR="00F761AF" w:rsidRPr="00752788">
        <w:rPr>
          <w:rFonts w:eastAsia="Times New Roman"/>
          <w:lang w:val="ka-GE"/>
        </w:rPr>
        <w:t>.</w:t>
      </w:r>
      <w:r w:rsidR="00AC0799">
        <w:rPr>
          <w:rFonts w:eastAsia="Times New Roman"/>
          <w:lang w:val="ka-GE"/>
        </w:rPr>
        <w:t xml:space="preserve"> </w:t>
      </w:r>
      <w:r w:rsidR="00AC0799" w:rsidRPr="00AC0799">
        <w:rPr>
          <w:rFonts w:eastAsia="Times New Roman"/>
          <w:lang w:val="ka-GE"/>
        </w:rPr>
        <w:t>საბროკერო კომპანია, რომელიც ვალდებულია</w:t>
      </w:r>
      <w:r w:rsidR="00595ABA">
        <w:rPr>
          <w:rFonts w:eastAsia="Times New Roman"/>
          <w:lang w:val="ka-GE"/>
        </w:rPr>
        <w:t>,</w:t>
      </w:r>
      <w:r w:rsidR="00AC0799" w:rsidRPr="00AC0799">
        <w:rPr>
          <w:rFonts w:eastAsia="Times New Roman"/>
          <w:lang w:val="ka-GE"/>
        </w:rPr>
        <w:t xml:space="preserve"> „ბუღალტრული აღრიცხვის, ანგარიშგებისა და აუდიტის შესახებ“ საქართველოს კანონით გათვალისწინებულ შემთხვევაში მოამზადოს მმართველობის ანგარიშგება, აღნიშნულ ანგარიშგებას ეროვნულ ბანკს წარუდგენს ამ მუხლის პირველი პუნქტით გათვალისწინებულ წლიურ აუდიტირებულ ფინანსურ ანგარიშგებასთან ერთად.“;</w:t>
      </w:r>
    </w:p>
    <w:p w14:paraId="37E920A5" w14:textId="05962087" w:rsidR="0092581A" w:rsidRDefault="0092581A" w:rsidP="00A71CD1">
      <w:pPr>
        <w:spacing w:after="0"/>
        <w:contextualSpacing/>
        <w:jc w:val="both"/>
        <w:rPr>
          <w:rFonts w:eastAsia="Times New Roman"/>
          <w:lang w:val="ka-GE"/>
        </w:rPr>
      </w:pPr>
    </w:p>
    <w:p w14:paraId="72858F00" w14:textId="585B7FF9" w:rsidR="0092581A" w:rsidRDefault="0092581A" w:rsidP="0092581A">
      <w:pPr>
        <w:spacing w:after="0"/>
        <w:contextualSpacing/>
        <w:jc w:val="both"/>
        <w:rPr>
          <w:rFonts w:eastAsia="Times New Roman"/>
          <w:b/>
          <w:lang w:val="ka-GE"/>
        </w:rPr>
      </w:pPr>
      <w:r w:rsidRPr="00260507">
        <w:rPr>
          <w:rFonts w:eastAsia="Times New Roman"/>
          <w:b/>
          <w:lang w:val="ka-GE"/>
        </w:rPr>
        <w:t xml:space="preserve">ბ) </w:t>
      </w:r>
      <w:r w:rsidRPr="00752788">
        <w:rPr>
          <w:rFonts w:eastAsia="Times New Roman"/>
          <w:b/>
          <w:lang w:val="ka-GE"/>
        </w:rPr>
        <w:t>მე-6</w:t>
      </w:r>
      <w:r>
        <w:rPr>
          <w:rFonts w:eastAsia="Times New Roman"/>
          <w:b/>
          <w:lang w:val="ka-GE"/>
        </w:rPr>
        <w:t xml:space="preserve"> პუნქტი ჩამოყალიბდეს შემდეგი რედაქციით:</w:t>
      </w:r>
    </w:p>
    <w:p w14:paraId="6B6A9290" w14:textId="02D9B82F" w:rsidR="0092581A" w:rsidRPr="00DD2FBB" w:rsidRDefault="0092581A" w:rsidP="00A71CD1">
      <w:pPr>
        <w:spacing w:after="0"/>
        <w:contextualSpacing/>
        <w:jc w:val="both"/>
        <w:rPr>
          <w:rFonts w:eastAsia="Times New Roman"/>
          <w:lang w:val="ka-GE"/>
        </w:rPr>
      </w:pPr>
      <w:r>
        <w:rPr>
          <w:rFonts w:eastAsia="Times New Roman"/>
          <w:lang w:val="ka-GE"/>
        </w:rPr>
        <w:t xml:space="preserve">„6. </w:t>
      </w:r>
      <w:r w:rsidRPr="0092581A">
        <w:rPr>
          <w:rFonts w:eastAsia="Times New Roman"/>
          <w:lang w:val="ka-GE"/>
        </w:rPr>
        <w:t xml:space="preserve">ამ მუხლის მე-4 პუნქტით განსაზღვრული </w:t>
      </w:r>
      <w:r w:rsidR="00DD2FBB" w:rsidRPr="009B005D">
        <w:t>მიმდინარე ანგარიშგების (შეტყობინების)</w:t>
      </w:r>
      <w:r w:rsidRPr="0092581A">
        <w:rPr>
          <w:rFonts w:eastAsia="Times New Roman"/>
          <w:lang w:val="ka-GE"/>
        </w:rPr>
        <w:t xml:space="preserve"> </w:t>
      </w:r>
      <w:r w:rsidR="00FA3FC1">
        <w:rPr>
          <w:rFonts w:eastAsia="Times New Roman"/>
          <w:lang w:val="ka-GE"/>
        </w:rPr>
        <w:t>მიღებ</w:t>
      </w:r>
      <w:r w:rsidRPr="0092581A">
        <w:rPr>
          <w:rFonts w:eastAsia="Times New Roman"/>
          <w:lang w:val="ka-GE"/>
        </w:rPr>
        <w:t xml:space="preserve">იდან 1 თვის ვადაში ეროვნული ბანკი საბროკერო კომპანიას აძლევს თანხმობას შესაბამისი </w:t>
      </w:r>
      <w:r w:rsidR="00FA3FC1">
        <w:rPr>
          <w:rFonts w:eastAsia="Times New Roman"/>
          <w:lang w:val="ka-GE"/>
        </w:rPr>
        <w:t>გადაწყვეტილების აღსრულებაზე</w:t>
      </w:r>
      <w:r w:rsidRPr="0092581A">
        <w:rPr>
          <w:rFonts w:eastAsia="Times New Roman"/>
          <w:lang w:val="ka-GE"/>
        </w:rPr>
        <w:t xml:space="preserve"> ან ეუბნება დასაბუთებულ უარს. აუცილებლობის შემთხვევაში, აღნიშნული ვადა შეიძლება გაგრძელდეს არაუმეტეს 1 თვისა, რის თაობაზეც ეროვნული ბანკი წინასწარ აცნობებს განმცხადებელს.</w:t>
      </w:r>
      <w:r>
        <w:rPr>
          <w:rFonts w:eastAsia="Times New Roman"/>
        </w:rPr>
        <w:t>”</w:t>
      </w:r>
      <w:r w:rsidR="00DD2FBB">
        <w:rPr>
          <w:rFonts w:eastAsia="Times New Roman"/>
          <w:lang w:val="ka-GE"/>
        </w:rPr>
        <w:t>;</w:t>
      </w:r>
    </w:p>
    <w:p w14:paraId="631A9B87" w14:textId="77777777" w:rsidR="00752788" w:rsidRPr="00752788" w:rsidRDefault="00752788" w:rsidP="00A71CD1">
      <w:pPr>
        <w:spacing w:after="0"/>
        <w:contextualSpacing/>
        <w:jc w:val="both"/>
        <w:rPr>
          <w:rFonts w:eastAsia="Times New Roman"/>
          <w:b/>
          <w:lang w:val="ka-GE"/>
        </w:rPr>
      </w:pPr>
    </w:p>
    <w:p w14:paraId="30326E0E" w14:textId="757B85EA" w:rsidR="009D531A" w:rsidRPr="00A71CD1" w:rsidRDefault="0092581A" w:rsidP="00A71CD1">
      <w:pPr>
        <w:spacing w:after="0"/>
        <w:contextualSpacing/>
        <w:jc w:val="both"/>
        <w:rPr>
          <w:rFonts w:eastAsia="Times New Roman"/>
          <w:b/>
          <w:lang w:val="ka-GE"/>
        </w:rPr>
      </w:pPr>
      <w:r>
        <w:rPr>
          <w:rFonts w:eastAsia="Times New Roman"/>
          <w:b/>
          <w:lang w:val="ka-GE"/>
        </w:rPr>
        <w:t>გ</w:t>
      </w:r>
      <w:r w:rsidR="009D531A" w:rsidRPr="00A71CD1">
        <w:rPr>
          <w:rFonts w:eastAsia="Times New Roman"/>
          <w:b/>
          <w:lang w:val="ka-GE"/>
        </w:rPr>
        <w:t xml:space="preserve">) </w:t>
      </w:r>
      <w:r w:rsidR="00DF4DE1" w:rsidRPr="00752788">
        <w:rPr>
          <w:rFonts w:eastAsia="Times New Roman"/>
          <w:b/>
          <w:lang w:val="ka-GE"/>
        </w:rPr>
        <w:t xml:space="preserve">მე-6 პუნქტის შემდეგ დაემატოს </w:t>
      </w:r>
      <w:r w:rsidR="00FA3FC1">
        <w:rPr>
          <w:rFonts w:eastAsia="Times New Roman"/>
          <w:b/>
          <w:lang w:val="ka-GE"/>
        </w:rPr>
        <w:t xml:space="preserve">შემდეგი შინაარსის </w:t>
      </w:r>
      <w:r w:rsidR="00DF4DE1" w:rsidRPr="00752788">
        <w:rPr>
          <w:rFonts w:eastAsia="Times New Roman"/>
          <w:b/>
          <w:lang w:val="ka-GE"/>
        </w:rPr>
        <w:t>მე-7</w:t>
      </w:r>
      <w:r w:rsidR="00D75B91" w:rsidRPr="00A71CD1">
        <w:rPr>
          <w:rFonts w:eastAsia="Times New Roman"/>
          <w:b/>
          <w:lang w:val="ka-GE"/>
        </w:rPr>
        <w:t xml:space="preserve"> პუნქტი:</w:t>
      </w:r>
    </w:p>
    <w:p w14:paraId="1186240F" w14:textId="3E0D76C3" w:rsidR="00ED441D" w:rsidRPr="00752788" w:rsidRDefault="00D75B91" w:rsidP="00A71CD1">
      <w:pPr>
        <w:spacing w:after="0"/>
        <w:contextualSpacing/>
        <w:jc w:val="both"/>
        <w:rPr>
          <w:rFonts w:eastAsia="Times New Roman"/>
          <w:lang w:val="ka-GE"/>
        </w:rPr>
      </w:pPr>
      <w:r w:rsidRPr="00752788">
        <w:rPr>
          <w:rFonts w:eastAsia="Times New Roman"/>
          <w:lang w:val="ka-GE"/>
        </w:rPr>
        <w:t>„</w:t>
      </w:r>
      <w:r w:rsidR="00DF4DE1" w:rsidRPr="00752788">
        <w:rPr>
          <w:rFonts w:eastAsia="Times New Roman"/>
          <w:lang w:val="ka-GE"/>
        </w:rPr>
        <w:t>7</w:t>
      </w:r>
      <w:r w:rsidR="00ED441D" w:rsidRPr="00752788">
        <w:rPr>
          <w:rFonts w:eastAsia="Times New Roman"/>
          <w:lang w:val="ka-GE"/>
        </w:rPr>
        <w:t xml:space="preserve">. </w:t>
      </w:r>
      <w:r w:rsidR="00762C56" w:rsidRPr="00752788">
        <w:rPr>
          <w:rFonts w:eastAsia="Times New Roman"/>
          <w:lang w:val="ka-GE"/>
        </w:rPr>
        <w:t>საბროკერო კომპანიის მიერ ეროვნული ბანკისთვის ამ მუხლის შესაბამისად წარდგენი</w:t>
      </w:r>
      <w:r w:rsidR="00A71CD1">
        <w:rPr>
          <w:rFonts w:eastAsia="Times New Roman"/>
          <w:lang w:val="ka-GE"/>
        </w:rPr>
        <w:t>ლ</w:t>
      </w:r>
      <w:r w:rsidR="001C6259" w:rsidRPr="00752788">
        <w:rPr>
          <w:rFonts w:eastAsia="Times New Roman"/>
          <w:lang w:val="ka-GE"/>
        </w:rPr>
        <w:t xml:space="preserve"> წლიურ აუდიტ</w:t>
      </w:r>
      <w:r w:rsidR="009116AE" w:rsidRPr="00752788">
        <w:rPr>
          <w:rFonts w:eastAsia="Times New Roman"/>
          <w:lang w:val="ka-GE"/>
        </w:rPr>
        <w:t>ირ</w:t>
      </w:r>
      <w:r w:rsidR="001C6259" w:rsidRPr="00752788">
        <w:rPr>
          <w:rFonts w:eastAsia="Times New Roman"/>
          <w:lang w:val="ka-GE"/>
        </w:rPr>
        <w:t xml:space="preserve">ებულ </w:t>
      </w:r>
      <w:r w:rsidR="00DD79E6" w:rsidRPr="00752788">
        <w:rPr>
          <w:rFonts w:eastAsia="Times New Roman"/>
          <w:lang w:val="ka-GE"/>
        </w:rPr>
        <w:t xml:space="preserve">ფინანსურ </w:t>
      </w:r>
      <w:r w:rsidR="001C6259" w:rsidRPr="00752788">
        <w:rPr>
          <w:rFonts w:eastAsia="Times New Roman"/>
          <w:lang w:val="ka-GE"/>
        </w:rPr>
        <w:t>ანგარიშგებას, მმარ</w:t>
      </w:r>
      <w:r w:rsidR="00CD43A9" w:rsidRPr="00752788">
        <w:rPr>
          <w:rFonts w:eastAsia="Times New Roman"/>
          <w:lang w:val="ka-GE"/>
        </w:rPr>
        <w:t>თველობის ანგარიშგებას</w:t>
      </w:r>
      <w:r w:rsidR="00AE52BE" w:rsidRPr="00752788">
        <w:rPr>
          <w:rFonts w:eastAsia="Times New Roman"/>
          <w:lang w:val="ka-GE"/>
        </w:rPr>
        <w:t>ა და</w:t>
      </w:r>
      <w:r w:rsidR="00CD43A9" w:rsidRPr="00752788">
        <w:rPr>
          <w:rFonts w:eastAsia="Times New Roman"/>
          <w:lang w:val="ka-GE"/>
        </w:rPr>
        <w:t xml:space="preserve"> </w:t>
      </w:r>
      <w:r w:rsidR="00762C56" w:rsidRPr="00752788">
        <w:rPr>
          <w:rFonts w:eastAsia="Times New Roman"/>
          <w:lang w:val="ka-GE"/>
        </w:rPr>
        <w:t>კვარტ</w:t>
      </w:r>
      <w:r w:rsidR="0015625C">
        <w:rPr>
          <w:rFonts w:eastAsia="Times New Roman"/>
          <w:lang w:val="ka-GE"/>
        </w:rPr>
        <w:t>ა</w:t>
      </w:r>
      <w:r w:rsidR="00762C56" w:rsidRPr="00752788">
        <w:rPr>
          <w:rFonts w:eastAsia="Times New Roman"/>
          <w:lang w:val="ka-GE"/>
        </w:rPr>
        <w:t xml:space="preserve">ლურ </w:t>
      </w:r>
      <w:r w:rsidR="00DD79E6" w:rsidRPr="00752788">
        <w:rPr>
          <w:rFonts w:eastAsia="Times New Roman"/>
          <w:lang w:val="ka-GE"/>
        </w:rPr>
        <w:t xml:space="preserve">ფინანსურ </w:t>
      </w:r>
      <w:r w:rsidR="00762C56" w:rsidRPr="00752788">
        <w:rPr>
          <w:rFonts w:eastAsia="Times New Roman"/>
          <w:lang w:val="ka-GE"/>
        </w:rPr>
        <w:t>ანგარიშგებას ეროვნული ბანკი აქვეყნებს თავის ოფიციალურ ვებგვერდზე.“</w:t>
      </w:r>
      <w:r w:rsidR="00B23D14" w:rsidRPr="00752788">
        <w:rPr>
          <w:rFonts w:eastAsia="Times New Roman"/>
          <w:lang w:val="ka-GE"/>
        </w:rPr>
        <w:t>.</w:t>
      </w:r>
    </w:p>
    <w:p w14:paraId="6E1C699C" w14:textId="77777777" w:rsidR="0040634F" w:rsidRPr="00752788" w:rsidRDefault="0040634F" w:rsidP="00D72E9B">
      <w:pPr>
        <w:jc w:val="both"/>
        <w:rPr>
          <w:rFonts w:eastAsia="Times New Roman"/>
          <w:lang w:val="ka-GE"/>
        </w:rPr>
      </w:pPr>
    </w:p>
    <w:p w14:paraId="040AE80D" w14:textId="77777777" w:rsidR="0040634F" w:rsidRPr="00752788" w:rsidRDefault="0040634F" w:rsidP="0040634F">
      <w:pPr>
        <w:spacing w:after="60" w:line="276" w:lineRule="auto"/>
        <w:jc w:val="both"/>
        <w:rPr>
          <w:b/>
          <w:lang w:val="ka-GE"/>
        </w:rPr>
      </w:pPr>
      <w:r w:rsidRPr="00752788">
        <w:rPr>
          <w:b/>
          <w:lang w:val="ka-GE"/>
        </w:rPr>
        <w:t xml:space="preserve">მუხლი 2 </w:t>
      </w:r>
    </w:p>
    <w:p w14:paraId="33276D19" w14:textId="0E4A2F3D" w:rsidR="00AC0799" w:rsidRPr="009B005D" w:rsidRDefault="00AC0799" w:rsidP="00A23A37">
      <w:pPr>
        <w:spacing w:after="60" w:line="276" w:lineRule="auto"/>
        <w:jc w:val="both"/>
        <w:rPr>
          <w:rFonts w:cs="Sylfaen"/>
          <w:lang w:val="ka-GE"/>
        </w:rPr>
      </w:pPr>
      <w:r w:rsidRPr="00A71CD1">
        <w:rPr>
          <w:lang w:val="ka-GE"/>
        </w:rPr>
        <w:t xml:space="preserve">1. </w:t>
      </w:r>
      <w:r w:rsidR="00D4377F">
        <w:rPr>
          <w:lang w:val="ka-GE"/>
        </w:rPr>
        <w:t xml:space="preserve">შესაბამისმა </w:t>
      </w:r>
      <w:r w:rsidR="00A23A37" w:rsidRPr="009B005D">
        <w:rPr>
          <w:rFonts w:cs="Sylfaen"/>
          <w:lang w:val="ka-GE"/>
        </w:rPr>
        <w:t xml:space="preserve">საბროკერო კომპანიებმა ამ </w:t>
      </w:r>
      <w:r w:rsidR="0040634F" w:rsidRPr="009B005D">
        <w:rPr>
          <w:rFonts w:cs="Sylfaen"/>
          <w:lang w:val="ka-GE"/>
        </w:rPr>
        <w:t>ბრძანების პირველი</w:t>
      </w:r>
      <w:r w:rsidR="00A23A37" w:rsidRPr="009B005D">
        <w:rPr>
          <w:rFonts w:cs="Sylfaen"/>
          <w:lang w:val="ka-GE"/>
        </w:rPr>
        <w:t xml:space="preserve"> მუხლის </w:t>
      </w:r>
      <w:r w:rsidR="0040634F" w:rsidRPr="009B005D">
        <w:rPr>
          <w:rFonts w:cs="Sylfaen"/>
          <w:lang w:val="ka-GE"/>
        </w:rPr>
        <w:t xml:space="preserve">მე-3 </w:t>
      </w:r>
      <w:r w:rsidR="00A23A37" w:rsidRPr="009B005D">
        <w:rPr>
          <w:rFonts w:cs="Sylfaen"/>
          <w:lang w:val="ka-GE"/>
        </w:rPr>
        <w:t>პუნქტი</w:t>
      </w:r>
      <w:r w:rsidR="0040634F" w:rsidRPr="009B005D">
        <w:rPr>
          <w:rFonts w:cs="Sylfaen"/>
          <w:lang w:val="ka-GE"/>
        </w:rPr>
        <w:t>ს „ა“ ქვეპუნქტით</w:t>
      </w:r>
      <w:r w:rsidR="00A23A37" w:rsidRPr="009B005D">
        <w:rPr>
          <w:rFonts w:cs="Sylfaen"/>
          <w:lang w:val="ka-GE"/>
        </w:rPr>
        <w:t xml:space="preserve"> გათვალისწინებული მმართველობის ანგარიშგების </w:t>
      </w:r>
      <w:r w:rsidR="00DD79E6" w:rsidRPr="009B005D">
        <w:rPr>
          <w:rFonts w:cs="Sylfaen"/>
          <w:lang w:val="ka-GE"/>
        </w:rPr>
        <w:t xml:space="preserve">ეროვნული ბანკისთვის პირველად </w:t>
      </w:r>
      <w:r w:rsidR="00A23A37" w:rsidRPr="009B005D">
        <w:rPr>
          <w:rFonts w:cs="Sylfaen"/>
          <w:lang w:val="ka-GE"/>
        </w:rPr>
        <w:t>წარდგენა უნდა უზრუნველყონ 2026 წლის</w:t>
      </w:r>
      <w:r w:rsidR="00DD79E6" w:rsidRPr="009B005D">
        <w:rPr>
          <w:rFonts w:cs="Sylfaen"/>
          <w:lang w:val="ka-GE"/>
        </w:rPr>
        <w:t xml:space="preserve"> საანგარიშო პერიოდისთვის</w:t>
      </w:r>
      <w:r w:rsidR="00982C13">
        <w:rPr>
          <w:rFonts w:cs="Sylfaen"/>
          <w:lang w:val="ka-GE"/>
        </w:rPr>
        <w:t xml:space="preserve">, 2026 </w:t>
      </w:r>
      <w:r w:rsidR="00982C13" w:rsidRPr="00A71CD1">
        <w:rPr>
          <w:lang w:val="ka-GE"/>
        </w:rPr>
        <w:t>წლის დასრულებიდან არაუგვიანეს 90 კალენდარული დღისა</w:t>
      </w:r>
      <w:r w:rsidRPr="00F47B00">
        <w:rPr>
          <w:rFonts w:cs="Sylfaen"/>
          <w:lang w:val="ka-GE"/>
        </w:rPr>
        <w:t>.</w:t>
      </w:r>
      <w:r w:rsidR="00982C13">
        <w:rPr>
          <w:rFonts w:cs="Sylfaen"/>
          <w:lang w:val="ka-GE"/>
        </w:rPr>
        <w:t xml:space="preserve"> </w:t>
      </w:r>
    </w:p>
    <w:p w14:paraId="4D9B1310" w14:textId="3DB9A358" w:rsidR="00A23A37" w:rsidRPr="00752788" w:rsidRDefault="00AC0799" w:rsidP="00A23A37">
      <w:pPr>
        <w:spacing w:after="60" w:line="276" w:lineRule="auto"/>
        <w:jc w:val="both"/>
        <w:rPr>
          <w:rFonts w:cs="Sylfaen"/>
          <w:lang w:val="ka-GE"/>
        </w:rPr>
      </w:pPr>
      <w:r>
        <w:rPr>
          <w:rFonts w:cs="Sylfaen"/>
          <w:lang w:val="ka-GE"/>
        </w:rPr>
        <w:t>2. ამ ბრძანე</w:t>
      </w:r>
      <w:r w:rsidR="007B3B55">
        <w:rPr>
          <w:rFonts w:cs="Sylfaen"/>
          <w:lang w:val="ka-GE"/>
        </w:rPr>
        <w:t xml:space="preserve">ბის პირველი მუხლის მე-3 პუნქტის „ბ“ ქვეპუნქტის მოქმედება </w:t>
      </w:r>
      <w:r w:rsidR="0079431E">
        <w:rPr>
          <w:rFonts w:cs="Sylfaen"/>
          <w:lang w:val="ka-GE"/>
        </w:rPr>
        <w:t xml:space="preserve">ასევე </w:t>
      </w:r>
      <w:r w:rsidR="007B3B55">
        <w:rPr>
          <w:rFonts w:cs="Sylfaen"/>
          <w:lang w:val="ka-GE"/>
        </w:rPr>
        <w:t xml:space="preserve">გავრცელდეს </w:t>
      </w:r>
      <w:r w:rsidR="007B3B55" w:rsidRPr="007B3B55">
        <w:rPr>
          <w:rFonts w:cs="Sylfaen"/>
          <w:lang w:val="ka-GE"/>
        </w:rPr>
        <w:t>ამ ბრძანების ამოქმედებამდე დაწყებულ ადმინისტრაციულ წარმოებაზე.</w:t>
      </w:r>
    </w:p>
    <w:p w14:paraId="5137290C" w14:textId="77777777" w:rsidR="004B0D98" w:rsidRPr="00752788" w:rsidRDefault="004B0D98" w:rsidP="00460F7D">
      <w:pPr>
        <w:spacing w:after="60" w:line="276" w:lineRule="auto"/>
        <w:jc w:val="both"/>
        <w:rPr>
          <w:lang w:val="ka-GE"/>
        </w:rPr>
      </w:pPr>
    </w:p>
    <w:p w14:paraId="4C2EA233" w14:textId="15BC41EF" w:rsidR="00460F7D" w:rsidRPr="00752788" w:rsidRDefault="00460F7D" w:rsidP="00460F7D">
      <w:pPr>
        <w:spacing w:after="60" w:line="276" w:lineRule="auto"/>
        <w:jc w:val="both"/>
        <w:rPr>
          <w:b/>
          <w:lang w:val="ka-GE"/>
        </w:rPr>
      </w:pPr>
      <w:r w:rsidRPr="00752788">
        <w:rPr>
          <w:b/>
          <w:lang w:val="ka-GE"/>
        </w:rPr>
        <w:t xml:space="preserve">მუხლი </w:t>
      </w:r>
      <w:r w:rsidR="0040634F" w:rsidRPr="00752788">
        <w:rPr>
          <w:b/>
          <w:lang w:val="ka-GE"/>
        </w:rPr>
        <w:t>3</w:t>
      </w:r>
      <w:r w:rsidRPr="00752788">
        <w:rPr>
          <w:b/>
          <w:lang w:val="ka-GE"/>
        </w:rPr>
        <w:t xml:space="preserve"> </w:t>
      </w:r>
    </w:p>
    <w:p w14:paraId="34116D7F" w14:textId="77777777" w:rsidR="00460F7D" w:rsidRPr="00752788" w:rsidRDefault="00460F7D" w:rsidP="00460F7D">
      <w:pPr>
        <w:spacing w:after="60" w:line="276" w:lineRule="auto"/>
        <w:jc w:val="both"/>
        <w:rPr>
          <w:lang w:val="ka-GE"/>
        </w:rPr>
      </w:pPr>
      <w:r w:rsidRPr="00752788">
        <w:rPr>
          <w:lang w:val="ka-GE"/>
        </w:rPr>
        <w:t>ეს ბრძანება ამოქმედდეს გამოქვეყნებისთანავე.</w:t>
      </w:r>
    </w:p>
    <w:p w14:paraId="1BA27B5A" w14:textId="77777777" w:rsidR="00460F7D" w:rsidRPr="00752788" w:rsidRDefault="00460F7D" w:rsidP="00D72E9B">
      <w:pPr>
        <w:jc w:val="both"/>
        <w:rPr>
          <w:lang w:val="ka-GE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530"/>
      </w:tblGrid>
      <w:tr w:rsidR="00460F7D" w:rsidRPr="00752788" w14:paraId="74F8837E" w14:textId="77777777" w:rsidTr="008F2E6B">
        <w:tc>
          <w:tcPr>
            <w:tcW w:w="4677" w:type="dxa"/>
          </w:tcPr>
          <w:p w14:paraId="4362F9D8" w14:textId="77777777" w:rsidR="00460F7D" w:rsidRPr="00752788" w:rsidRDefault="00460F7D" w:rsidP="00460F7D">
            <w:pPr>
              <w:rPr>
                <w:lang w:val="ka-GE"/>
              </w:rPr>
            </w:pPr>
            <w:r w:rsidRPr="00752788">
              <w:rPr>
                <w:rFonts w:cs="Sylfaen"/>
                <w:b/>
                <w:noProof/>
                <w:lang w:val="ka-GE"/>
              </w:rPr>
              <w:t xml:space="preserve">საქართველოს ეროვნული ბანკის პრეზიდენტი                                                     </w:t>
            </w:r>
          </w:p>
        </w:tc>
        <w:tc>
          <w:tcPr>
            <w:tcW w:w="4530" w:type="dxa"/>
          </w:tcPr>
          <w:p w14:paraId="4717BE9E" w14:textId="77777777" w:rsidR="00460F7D" w:rsidRPr="00752788" w:rsidRDefault="00460F7D" w:rsidP="00460F7D">
            <w:pPr>
              <w:jc w:val="right"/>
              <w:rPr>
                <w:lang w:val="ka-GE"/>
              </w:rPr>
            </w:pPr>
            <w:r w:rsidRPr="00752788">
              <w:rPr>
                <w:rFonts w:cs="Sylfaen"/>
                <w:b/>
                <w:i/>
                <w:noProof/>
                <w:lang w:val="ka-GE"/>
              </w:rPr>
              <w:t>ნათელა თურნავა</w:t>
            </w:r>
            <w:r w:rsidRPr="00752788">
              <w:rPr>
                <w:rFonts w:cs="Sylfaen"/>
                <w:b/>
                <w:noProof/>
                <w:lang w:val="ka-GE"/>
              </w:rPr>
              <w:t xml:space="preserve">                                                                                  </w:t>
            </w:r>
            <w:bookmarkStart w:id="0" w:name="_GoBack"/>
            <w:r w:rsidRPr="00752788">
              <w:rPr>
                <w:rFonts w:cs="Sylfaen"/>
                <w:b/>
                <w:noProof/>
                <w:lang w:val="ka-GE"/>
              </w:rPr>
              <w:t xml:space="preserve">  </w:t>
            </w:r>
            <w:bookmarkEnd w:id="0"/>
          </w:p>
        </w:tc>
      </w:tr>
    </w:tbl>
    <w:p w14:paraId="7CD97FA4" w14:textId="77777777" w:rsidR="00460F7D" w:rsidRPr="00752788" w:rsidRDefault="00460F7D" w:rsidP="00D72E9B">
      <w:pPr>
        <w:jc w:val="both"/>
        <w:rPr>
          <w:lang w:val="ka-GE"/>
        </w:rPr>
      </w:pPr>
    </w:p>
    <w:sectPr w:rsidR="00460F7D" w:rsidRPr="00752788" w:rsidSect="00CB1A1F"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4781B" w14:textId="77777777" w:rsidR="00173560" w:rsidRDefault="00173560" w:rsidP="00D72E9B">
      <w:pPr>
        <w:spacing w:after="0" w:line="240" w:lineRule="auto"/>
      </w:pPr>
      <w:r>
        <w:separator/>
      </w:r>
    </w:p>
  </w:endnote>
  <w:endnote w:type="continuationSeparator" w:id="0">
    <w:p w14:paraId="4BEFD159" w14:textId="77777777" w:rsidR="00173560" w:rsidRDefault="00173560" w:rsidP="00D72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5F7DF" w14:textId="77777777" w:rsidR="00173560" w:rsidRDefault="00173560" w:rsidP="00D72E9B">
      <w:pPr>
        <w:spacing w:after="0" w:line="240" w:lineRule="auto"/>
      </w:pPr>
      <w:r>
        <w:separator/>
      </w:r>
    </w:p>
  </w:footnote>
  <w:footnote w:type="continuationSeparator" w:id="0">
    <w:p w14:paraId="52FEA092" w14:textId="77777777" w:rsidR="00173560" w:rsidRDefault="00173560" w:rsidP="00D72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85AF2"/>
    <w:multiLevelType w:val="hybridMultilevel"/>
    <w:tmpl w:val="36E2C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A93"/>
    <w:rsid w:val="000004BB"/>
    <w:rsid w:val="00062148"/>
    <w:rsid w:val="000A2E01"/>
    <w:rsid w:val="000B384C"/>
    <w:rsid w:val="000C0B73"/>
    <w:rsid w:val="000C4108"/>
    <w:rsid w:val="000E208E"/>
    <w:rsid w:val="000F7910"/>
    <w:rsid w:val="001106D4"/>
    <w:rsid w:val="00137D1C"/>
    <w:rsid w:val="00152282"/>
    <w:rsid w:val="0015625C"/>
    <w:rsid w:val="00173560"/>
    <w:rsid w:val="001A1AD2"/>
    <w:rsid w:val="001A2E86"/>
    <w:rsid w:val="001A74BA"/>
    <w:rsid w:val="001C4E43"/>
    <w:rsid w:val="001C6259"/>
    <w:rsid w:val="001F4CDB"/>
    <w:rsid w:val="00216533"/>
    <w:rsid w:val="00227229"/>
    <w:rsid w:val="00250778"/>
    <w:rsid w:val="00292AE0"/>
    <w:rsid w:val="002A5F6D"/>
    <w:rsid w:val="002E1C4B"/>
    <w:rsid w:val="003027BB"/>
    <w:rsid w:val="00315CBC"/>
    <w:rsid w:val="00336161"/>
    <w:rsid w:val="0036241D"/>
    <w:rsid w:val="0040634F"/>
    <w:rsid w:val="0045040B"/>
    <w:rsid w:val="0045450D"/>
    <w:rsid w:val="00460F7D"/>
    <w:rsid w:val="004B0D98"/>
    <w:rsid w:val="004E0237"/>
    <w:rsid w:val="004E3679"/>
    <w:rsid w:val="004F4FA2"/>
    <w:rsid w:val="0056741E"/>
    <w:rsid w:val="005863A5"/>
    <w:rsid w:val="00591249"/>
    <w:rsid w:val="00595ABA"/>
    <w:rsid w:val="005D6C4C"/>
    <w:rsid w:val="00602BD9"/>
    <w:rsid w:val="006047F9"/>
    <w:rsid w:val="00626A6F"/>
    <w:rsid w:val="00632B4F"/>
    <w:rsid w:val="00661FFB"/>
    <w:rsid w:val="006D18F0"/>
    <w:rsid w:val="006D53B0"/>
    <w:rsid w:val="00723D77"/>
    <w:rsid w:val="00752788"/>
    <w:rsid w:val="00762C56"/>
    <w:rsid w:val="007839EB"/>
    <w:rsid w:val="0079431E"/>
    <w:rsid w:val="007A3556"/>
    <w:rsid w:val="007B3B55"/>
    <w:rsid w:val="007E10AA"/>
    <w:rsid w:val="008E1ED1"/>
    <w:rsid w:val="008E2A73"/>
    <w:rsid w:val="008F2E6B"/>
    <w:rsid w:val="00907F9A"/>
    <w:rsid w:val="009116AE"/>
    <w:rsid w:val="00912FC0"/>
    <w:rsid w:val="0092581A"/>
    <w:rsid w:val="009435C3"/>
    <w:rsid w:val="00980848"/>
    <w:rsid w:val="00982C13"/>
    <w:rsid w:val="00982C6A"/>
    <w:rsid w:val="009961EA"/>
    <w:rsid w:val="009967DF"/>
    <w:rsid w:val="009B005D"/>
    <w:rsid w:val="009D1EF2"/>
    <w:rsid w:val="009D531A"/>
    <w:rsid w:val="00A12A68"/>
    <w:rsid w:val="00A15FFA"/>
    <w:rsid w:val="00A23A37"/>
    <w:rsid w:val="00A64B88"/>
    <w:rsid w:val="00A71CD1"/>
    <w:rsid w:val="00A8208D"/>
    <w:rsid w:val="00AB03B4"/>
    <w:rsid w:val="00AC0799"/>
    <w:rsid w:val="00AE52BE"/>
    <w:rsid w:val="00AF676A"/>
    <w:rsid w:val="00B17531"/>
    <w:rsid w:val="00B20649"/>
    <w:rsid w:val="00B23D14"/>
    <w:rsid w:val="00B37A17"/>
    <w:rsid w:val="00B50F08"/>
    <w:rsid w:val="00B73689"/>
    <w:rsid w:val="00B839DA"/>
    <w:rsid w:val="00B92DDA"/>
    <w:rsid w:val="00C867EC"/>
    <w:rsid w:val="00CB1A1F"/>
    <w:rsid w:val="00CD43A9"/>
    <w:rsid w:val="00D24E94"/>
    <w:rsid w:val="00D4377F"/>
    <w:rsid w:val="00D45737"/>
    <w:rsid w:val="00D471E4"/>
    <w:rsid w:val="00D6070C"/>
    <w:rsid w:val="00D72E9B"/>
    <w:rsid w:val="00D75B91"/>
    <w:rsid w:val="00DD2FBB"/>
    <w:rsid w:val="00DD70F4"/>
    <w:rsid w:val="00DD79E6"/>
    <w:rsid w:val="00DF36F2"/>
    <w:rsid w:val="00DF4DE1"/>
    <w:rsid w:val="00E02070"/>
    <w:rsid w:val="00E61191"/>
    <w:rsid w:val="00E805A7"/>
    <w:rsid w:val="00EA652D"/>
    <w:rsid w:val="00ED441D"/>
    <w:rsid w:val="00EF12ED"/>
    <w:rsid w:val="00F27731"/>
    <w:rsid w:val="00F47B00"/>
    <w:rsid w:val="00F761AF"/>
    <w:rsid w:val="00F83A93"/>
    <w:rsid w:val="00F87C5B"/>
    <w:rsid w:val="00FA3FC1"/>
    <w:rsid w:val="00F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0C5DB"/>
  <w15:chartTrackingRefBased/>
  <w15:docId w15:val="{17C2852E-CBA4-4435-902A-54BD2D2A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2E9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2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E9B"/>
  </w:style>
  <w:style w:type="paragraph" w:styleId="Footer">
    <w:name w:val="footer"/>
    <w:basedOn w:val="Normal"/>
    <w:link w:val="FooterChar"/>
    <w:uiPriority w:val="99"/>
    <w:unhideWhenUsed/>
    <w:rsid w:val="00D72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E9B"/>
  </w:style>
  <w:style w:type="paragraph" w:styleId="ListParagraph">
    <w:name w:val="List Paragraph"/>
    <w:basedOn w:val="Normal"/>
    <w:uiPriority w:val="34"/>
    <w:qFormat/>
    <w:rsid w:val="00AB03B4"/>
    <w:pPr>
      <w:ind w:left="720"/>
      <w:contextualSpacing/>
    </w:pPr>
  </w:style>
  <w:style w:type="table" w:styleId="TableGrid">
    <w:name w:val="Table Grid"/>
    <w:basedOn w:val="TableNormal"/>
    <w:uiPriority w:val="39"/>
    <w:rsid w:val="00460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12F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D7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9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9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9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9E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37D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6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matsne.gov.g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ZXRldnphZHplPC9Vc2VyTmFtZT48RGF0ZVRpbWU+MTEtTWFyLTI2IDY6NTg6NDIgQU08L0RhdGVUaW1lPjxMYWJlbFN0cmluZz5UaGlzIGl0ZW0gaGFzIG5vIGNsYXNzaWZpY2F0aW9uPC9MYWJlbFN0cmluZz48L2l0ZW0+PC9sYWJlbEhpc3Rvcnk+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65748-5112-4C03-B5E8-D091C6DBAFB8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4CA29DA8-7ABF-4155-A670-9E1B656A5665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9630644B-4476-4299-AF28-EAEB08CB4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Tevzadze</dc:creator>
  <cp:keywords/>
  <dc:description/>
  <cp:lastModifiedBy>Sandro Dugladze</cp:lastModifiedBy>
  <cp:revision>4</cp:revision>
  <dcterms:created xsi:type="dcterms:W3CDTF">2026-06-05T12:23:00Z</dcterms:created>
  <dcterms:modified xsi:type="dcterms:W3CDTF">2026-06-05T13:36:00Z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e910b4d6-154c-4c1b-be80-26802e3011c5</vt:lpwstr>
  </property>
  <property fmtid="{D5CDD505-2E9C-101B-9397-08002B2CF9AE}" pid="3" name="bjSaver">
    <vt:lpwstr>leq36eZnz0ID3aeJ04aa7KL8xt15wB1+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LabelHistoryID">
    <vt:lpwstr>{14B65748-5112-4C03-B5E8-D091C6DBAFB8}</vt:lpwstr>
  </property>
</Properties>
</file>