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4068C1AC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66B55568"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4C60C169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1B0770B3" w:rsidR="000A3326" w:rsidRPr="00065B72" w:rsidRDefault="00287CA3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11D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☒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71FEDBF" w:rsidR="000A3326" w:rsidRPr="00882D2D" w:rsidRDefault="00287CA3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1D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30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00"/>
        <w:gridCol w:w="1624"/>
        <w:gridCol w:w="2171"/>
        <w:gridCol w:w="2444"/>
        <w:gridCol w:w="2300"/>
        <w:gridCol w:w="1901"/>
        <w:gridCol w:w="2065"/>
      </w:tblGrid>
      <w:tr w:rsidR="00F947E1" w:rsidRPr="00B70A29" w14:paraId="3020A5D9" w14:textId="19AEEDFC" w:rsidTr="009338E8">
        <w:trPr>
          <w:trHeight w:val="426"/>
        </w:trPr>
        <w:tc>
          <w:tcPr>
            <w:tcW w:w="1800" w:type="dxa"/>
            <w:shd w:val="clear" w:color="auto" w:fill="D9D9D9" w:themeFill="background1" w:themeFillShade="D9"/>
          </w:tcPr>
          <w:p w14:paraId="55901078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F947E1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14:paraId="32131E43" w14:textId="77777777" w:rsidR="00F947E1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3BF7F231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1F1A3FC" w14:textId="4D03A9B3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765419D4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ნორმატიული აქტის პროექტის დასახელება, რომელთან დაკავშირებითაც </w:t>
            </w: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lastRenderedPageBreak/>
              <w:t>ხდება მოსაზრების/კომენტარის მოწოდება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63755848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0B69BEB6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5A6245C7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901" w:type="dxa"/>
            <w:shd w:val="clear" w:color="auto" w:fill="D9D9D9" w:themeFill="background1" w:themeFillShade="D9"/>
          </w:tcPr>
          <w:p w14:paraId="4D507D3D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</w:t>
            </w:r>
            <w:bookmarkStart w:id="0" w:name="_GoBack"/>
            <w:bookmarkEnd w:id="0"/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ტარი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66EC9724" w14:textId="067F0B26" w:rsidR="00F947E1" w:rsidRPr="00B70A29" w:rsidRDefault="006E43FC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საქართველოს </w:t>
            </w:r>
            <w:r w:rsidR="00F947E1">
              <w:rPr>
                <w:rFonts w:ascii="Sylfaen" w:eastAsia="Arial" w:hAnsi="Sylfaen"/>
                <w:b/>
                <w:color w:val="000000" w:themeColor="text1"/>
                <w:lang w:val="ka-GE"/>
              </w:rPr>
              <w:t>ეროვნული ბანკის პოზიცია</w:t>
            </w:r>
          </w:p>
        </w:tc>
      </w:tr>
      <w:tr w:rsidR="00F947E1" w:rsidRPr="00B70A29" w14:paraId="63D7EB63" w14:textId="1D6F2712" w:rsidTr="009338E8">
        <w:trPr>
          <w:trHeight w:val="426"/>
        </w:trPr>
        <w:tc>
          <w:tcPr>
            <w:tcW w:w="1800" w:type="dxa"/>
            <w:shd w:val="clear" w:color="auto" w:fill="auto"/>
          </w:tcPr>
          <w:p w14:paraId="2501D6C5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3AABE363" w:rsidR="00F947E1" w:rsidRPr="00B70A29" w:rsidRDefault="00F947E1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სს „საქართველოს ბანკი“</w:t>
            </w:r>
          </w:p>
        </w:tc>
        <w:tc>
          <w:tcPr>
            <w:tcW w:w="1624" w:type="dxa"/>
          </w:tcPr>
          <w:p w14:paraId="04483215" w14:textId="0C702AA7" w:rsidR="00F947E1" w:rsidRPr="00C511D2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C511D2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მუხლი 12, მე-5 პუნქტი</w:t>
            </w:r>
          </w:p>
        </w:tc>
        <w:bookmarkStart w:id="1" w:name="part_2"/>
        <w:tc>
          <w:tcPr>
            <w:tcW w:w="2171" w:type="dxa"/>
            <w:shd w:val="clear" w:color="auto" w:fill="auto"/>
          </w:tcPr>
          <w:p w14:paraId="7850DCC3" w14:textId="27DBA66A" w:rsidR="00F947E1" w:rsidRPr="00C511D2" w:rsidRDefault="00F947E1" w:rsidP="00811DBA">
            <w:pPr>
              <w:jc w:val="center"/>
              <w:rPr>
                <w:rFonts w:ascii="Sylfaen" w:eastAsia="Arial" w:hAnsi="Sylfaen"/>
                <w:bCs/>
                <w:color w:val="000000" w:themeColor="text1"/>
                <w:lang w:val="ka-GE"/>
              </w:rPr>
            </w:pP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fldChar w:fldCharType="begin"/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instrText xml:space="preserve"> HYPERLINK "" \l "!" </w:instrTex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fldChar w:fldCharType="separate"/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>„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საჯარო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ფასიან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ქაღალდებზე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საკუთრების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უფლების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სააღრიცხვო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თარიღის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დადგენის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,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ჩანაწერით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ფლობის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,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აქციათა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მესაკუთრეობიდან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გამომდინარე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,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უფლება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>-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მოვალეობათა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განსაზღვრის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და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საჯარო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ფასიან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ქაღალდებზე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საკუთრების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უფლების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წარმოშობის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,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შეცვლის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და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შეწყვეტის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პროცედურების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წესის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“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დამტკიცების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t xml:space="preserve"> </w:t>
            </w: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თაობაზე</w:t>
            </w:r>
            <w:r w:rsidRPr="00C511D2">
              <w:rPr>
                <w:rFonts w:ascii="Sylfaen" w:eastAsia="Arial" w:hAnsi="Sylfaen"/>
                <w:bCs/>
                <w:color w:val="000000" w:themeColor="text1"/>
                <w:lang w:val="ka-GE"/>
              </w:rPr>
              <w:fldChar w:fldCharType="end"/>
            </w:r>
            <w:bookmarkEnd w:id="1"/>
          </w:p>
        </w:tc>
        <w:tc>
          <w:tcPr>
            <w:tcW w:w="2444" w:type="dxa"/>
            <w:shd w:val="clear" w:color="auto" w:fill="auto"/>
          </w:tcPr>
          <w:p w14:paraId="51322CAF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300" w:type="dxa"/>
            <w:shd w:val="clear" w:color="auto" w:fill="auto"/>
          </w:tcPr>
          <w:p w14:paraId="34BEE2EC" w14:textId="77777777" w:rsidR="00F947E1" w:rsidRPr="00C511D2" w:rsidRDefault="00F947E1" w:rsidP="00C511D2">
            <w:pPr>
              <w:jc w:val="both"/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</w:pP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ჩვენი პოზიციით, შემთავაზებელმა პროაქტიულად (ფოსტის საშუალებით) უნდა აცნობოს ანგარიშის მწარმოებელს/რეგისტრატორს სატენდერო შეთავაზების შესახებ. იმ შემთხვევაში, თუ იზიარებთ ჩვენს პოზიციას, გთხოვთ აღნიშნულიც ასახოთ ბრძანებაში.</w:t>
            </w:r>
          </w:p>
          <w:p w14:paraId="0CE91B8E" w14:textId="77777777" w:rsidR="00F947E1" w:rsidRPr="00C511D2" w:rsidRDefault="00F947E1" w:rsidP="00811DBA">
            <w:pPr>
              <w:jc w:val="center"/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</w:pPr>
          </w:p>
        </w:tc>
        <w:tc>
          <w:tcPr>
            <w:tcW w:w="1901" w:type="dxa"/>
            <w:shd w:val="clear" w:color="auto" w:fill="auto"/>
          </w:tcPr>
          <w:p w14:paraId="65D2D23A" w14:textId="24B46142" w:rsidR="00F947E1" w:rsidRPr="00C511D2" w:rsidRDefault="00F947E1" w:rsidP="00C511D2">
            <w:pPr>
              <w:jc w:val="both"/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</w:pPr>
            <w:r w:rsidRPr="00C511D2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აღნიშნულით გვსურს თავიდან ავირიდოთ ყოველგვარი ბუნდოვანება იმასთან დაკავშირებით, რომ ანგარიშის მწარმოებელი/რეგისტრატორი პროაქტიულად არ უნდა ამოწმებდეს მაცნეს/ემიტენტის ვებ-გვერდს სატენდერო შეთავაზების შესახებ განცხადების მოსაძიებლად.</w:t>
            </w:r>
          </w:p>
        </w:tc>
        <w:tc>
          <w:tcPr>
            <w:tcW w:w="2065" w:type="dxa"/>
          </w:tcPr>
          <w:p w14:paraId="0D614A76" w14:textId="5E722142" w:rsidR="009E05F5" w:rsidRPr="009E05F5" w:rsidRDefault="00497F8F" w:rsidP="009E05F5">
            <w:pPr>
              <w:jc w:val="both"/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</w:pPr>
            <w:r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შემოთავაზებული ცვლილებების პროექტი შესაბამისობაშია როგორც ევროკავშირის დირექტივასთან (</w:t>
            </w:r>
            <w:r w:rsid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 xml:space="preserve">იხ. </w:t>
            </w:r>
            <w:r w:rsidRPr="00497F8F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DIRECTIVE 2004/25/EC OF THE EUROPEAN PARLIAMENT AND O</w:t>
            </w:r>
            <w:r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F THE COUNCIL</w:t>
            </w:r>
            <w:r>
              <w:rPr>
                <w:rFonts w:ascii="Sylfaen" w:eastAsia="Arial" w:hAnsi="Sylfaen" w:cs="Sylfaen"/>
                <w:bCs/>
                <w:color w:val="000000" w:themeColor="text1"/>
              </w:rPr>
              <w:t xml:space="preserve"> </w:t>
            </w:r>
            <w:r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of 21 April 2004</w:t>
            </w:r>
            <w:r>
              <w:rPr>
                <w:rFonts w:ascii="Sylfaen" w:eastAsia="Arial" w:hAnsi="Sylfaen" w:cs="Sylfaen"/>
                <w:bCs/>
                <w:color w:val="000000" w:themeColor="text1"/>
              </w:rPr>
              <w:t xml:space="preserve"> </w:t>
            </w:r>
            <w:r w:rsidRPr="00497F8F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on takeover bids</w:t>
            </w:r>
            <w:r>
              <w:rPr>
                <w:rFonts w:ascii="Sylfaen" w:eastAsia="Arial" w:hAnsi="Sylfaen" w:cs="Sylfaen"/>
                <w:bCs/>
                <w:color w:val="000000" w:themeColor="text1"/>
              </w:rPr>
              <w:t xml:space="preserve">, Article 6, Article 8), </w:t>
            </w:r>
            <w:r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ისე ევროპის რიგი ქვეყნების</w:t>
            </w:r>
            <w:r w:rsid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 xml:space="preserve"> პრაქტიკასთან. ასევე, </w:t>
            </w:r>
            <w:r w:rsidR="009E05F5" w:rsidRP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 xml:space="preserve">აღნიშნული </w:t>
            </w:r>
            <w:r w:rsid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 xml:space="preserve">ცვლილების შედეგად, </w:t>
            </w:r>
            <w:r w:rsidR="009E05F5" w:rsidRP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წესი დაუახლოვდება ანგარიშვალდებული საწარმოების მიერ ინფორმაციის გასაჯაროების მოქმედ სტანდარტს</w:t>
            </w:r>
            <w:r w:rsid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 xml:space="preserve"> (იხ.</w:t>
            </w:r>
            <w:r w:rsidR="00D92193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 xml:space="preserve"> „</w:t>
            </w:r>
            <w:r w:rsidR="009E05F5" w:rsidRP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ემიტენტის შესახებ ინფორმაციის გამჭვირვალობისა და ემიტენტისათვის ფასიანი ქაღალდების</w:t>
            </w:r>
          </w:p>
          <w:p w14:paraId="4C3A9762" w14:textId="35327CD1" w:rsidR="00F947E1" w:rsidRPr="00497F8F" w:rsidRDefault="009E05F5" w:rsidP="009E05F5">
            <w:pPr>
              <w:jc w:val="both"/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</w:pPr>
            <w:r w:rsidRP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lastRenderedPageBreak/>
              <w:t>რეგისტრატორის დანიშვნის წესის დამტკიცების თაობაზე</w:t>
            </w:r>
            <w:r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“ საქართველოს ეროვნული ბანკის პრეზიდენტის 2020 წლის 7 ოქტომბრის N181/04 ბრძანება)</w:t>
            </w:r>
            <w:r w:rsidRPr="009E05F5">
              <w:rPr>
                <w:rFonts w:ascii="Sylfaen" w:eastAsia="Arial" w:hAnsi="Sylfaen" w:cs="Sylfaen"/>
                <w:bCs/>
                <w:color w:val="000000" w:themeColor="text1"/>
                <w:lang w:val="ka-GE"/>
              </w:rPr>
              <w:t>.</w:t>
            </w:r>
          </w:p>
        </w:tc>
      </w:tr>
      <w:tr w:rsidR="00F947E1" w:rsidRPr="00B70A29" w14:paraId="603B9473" w14:textId="7ECE6D21" w:rsidTr="009338E8">
        <w:trPr>
          <w:trHeight w:val="426"/>
        </w:trPr>
        <w:tc>
          <w:tcPr>
            <w:tcW w:w="1800" w:type="dxa"/>
            <w:shd w:val="clear" w:color="auto" w:fill="auto"/>
          </w:tcPr>
          <w:p w14:paraId="64A9D39E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F947E1" w:rsidRPr="00B70A29" w:rsidRDefault="00F947E1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624" w:type="dxa"/>
          </w:tcPr>
          <w:p w14:paraId="412C19C8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171" w:type="dxa"/>
            <w:shd w:val="clear" w:color="auto" w:fill="auto"/>
          </w:tcPr>
          <w:p w14:paraId="0709EEBB" w14:textId="60B60008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444" w:type="dxa"/>
            <w:shd w:val="clear" w:color="auto" w:fill="auto"/>
          </w:tcPr>
          <w:p w14:paraId="0795D0CB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300" w:type="dxa"/>
            <w:shd w:val="clear" w:color="auto" w:fill="auto"/>
          </w:tcPr>
          <w:p w14:paraId="1977B375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901" w:type="dxa"/>
            <w:shd w:val="clear" w:color="auto" w:fill="auto"/>
          </w:tcPr>
          <w:p w14:paraId="202C5813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65" w:type="dxa"/>
          </w:tcPr>
          <w:p w14:paraId="503D85B8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F947E1" w:rsidRPr="00B70A29" w14:paraId="677D285F" w14:textId="633FD210" w:rsidTr="009338E8">
        <w:trPr>
          <w:trHeight w:val="426"/>
        </w:trPr>
        <w:tc>
          <w:tcPr>
            <w:tcW w:w="1800" w:type="dxa"/>
            <w:shd w:val="clear" w:color="auto" w:fill="auto"/>
          </w:tcPr>
          <w:p w14:paraId="2DA8412A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624" w:type="dxa"/>
          </w:tcPr>
          <w:p w14:paraId="38308AD1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171" w:type="dxa"/>
            <w:shd w:val="clear" w:color="auto" w:fill="auto"/>
          </w:tcPr>
          <w:p w14:paraId="060B6165" w14:textId="53E5F68E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F947E1" w:rsidRPr="00B70A29" w:rsidRDefault="00F947E1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444" w:type="dxa"/>
            <w:shd w:val="clear" w:color="auto" w:fill="auto"/>
          </w:tcPr>
          <w:p w14:paraId="558A4E0F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300" w:type="dxa"/>
            <w:shd w:val="clear" w:color="auto" w:fill="auto"/>
          </w:tcPr>
          <w:p w14:paraId="35E17B5A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901" w:type="dxa"/>
            <w:shd w:val="clear" w:color="auto" w:fill="auto"/>
          </w:tcPr>
          <w:p w14:paraId="264606BC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65" w:type="dxa"/>
          </w:tcPr>
          <w:p w14:paraId="226A9112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F947E1" w:rsidRPr="00B70A29" w14:paraId="75B35398" w14:textId="6D4C3089" w:rsidTr="009338E8">
        <w:trPr>
          <w:trHeight w:val="426"/>
        </w:trPr>
        <w:tc>
          <w:tcPr>
            <w:tcW w:w="1800" w:type="dxa"/>
            <w:shd w:val="clear" w:color="auto" w:fill="auto"/>
          </w:tcPr>
          <w:p w14:paraId="6E25214D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624" w:type="dxa"/>
          </w:tcPr>
          <w:p w14:paraId="6F1DF1D6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171" w:type="dxa"/>
            <w:shd w:val="clear" w:color="auto" w:fill="auto"/>
          </w:tcPr>
          <w:p w14:paraId="217B848E" w14:textId="394A369D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F947E1" w:rsidRPr="00B70A29" w:rsidRDefault="00F947E1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F947E1" w:rsidRPr="00B70A29" w:rsidRDefault="00F947E1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F947E1" w:rsidRPr="00B70A29" w:rsidRDefault="00F947E1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444" w:type="dxa"/>
            <w:shd w:val="clear" w:color="auto" w:fill="auto"/>
          </w:tcPr>
          <w:p w14:paraId="1A98FF8C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300" w:type="dxa"/>
            <w:shd w:val="clear" w:color="auto" w:fill="auto"/>
          </w:tcPr>
          <w:p w14:paraId="7A906E08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901" w:type="dxa"/>
            <w:shd w:val="clear" w:color="auto" w:fill="auto"/>
          </w:tcPr>
          <w:p w14:paraId="11DA1063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65" w:type="dxa"/>
          </w:tcPr>
          <w:p w14:paraId="1EEEDF2C" w14:textId="77777777" w:rsidR="00F947E1" w:rsidRPr="00B70A29" w:rsidRDefault="00F947E1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9B1A9" w14:textId="77777777" w:rsidR="00287CA3" w:rsidRDefault="00287CA3" w:rsidP="00714006">
      <w:r>
        <w:separator/>
      </w:r>
    </w:p>
  </w:endnote>
  <w:endnote w:type="continuationSeparator" w:id="0">
    <w:p w14:paraId="4688EDBD" w14:textId="77777777" w:rsidR="00287CA3" w:rsidRDefault="00287CA3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2115A" w14:textId="77777777" w:rsidR="00287CA3" w:rsidRDefault="00287CA3" w:rsidP="00714006">
      <w:r>
        <w:separator/>
      </w:r>
    </w:p>
  </w:footnote>
  <w:footnote w:type="continuationSeparator" w:id="0">
    <w:p w14:paraId="03655E57" w14:textId="77777777" w:rsidR="00287CA3" w:rsidRDefault="00287CA3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F947E1" w:rsidRPr="00840D7B" w:rsidRDefault="00F947E1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52057956" w:rsidR="00AA6357" w:rsidRPr="0017431F" w:rsidRDefault="00AA6357" w:rsidP="00FA65C8">
    <w:pPr>
      <w:pStyle w:val="Header"/>
      <w:jc w:val="right"/>
      <w:rPr>
        <w:rFonts w:ascii="Sylfaen" w:hAnsi="Sylfaen"/>
        <w:b/>
        <w:sz w:val="24"/>
        <w:szCs w:val="24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17431F">
      <w:rPr>
        <w:rFonts w:ascii="Sylfaen" w:hAnsi="Sylfaen"/>
        <w:b/>
        <w:sz w:val="24"/>
        <w:szCs w:val="24"/>
      </w:rPr>
      <w:t>1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2F70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0F74"/>
    <w:rsid w:val="000C13B6"/>
    <w:rsid w:val="000C29E3"/>
    <w:rsid w:val="000C2F45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3899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31F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87CA3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3783"/>
    <w:rsid w:val="00405B1B"/>
    <w:rsid w:val="00406830"/>
    <w:rsid w:val="004070D6"/>
    <w:rsid w:val="00411D12"/>
    <w:rsid w:val="00411D6A"/>
    <w:rsid w:val="004125DF"/>
    <w:rsid w:val="00412CE2"/>
    <w:rsid w:val="00413E6C"/>
    <w:rsid w:val="0042163A"/>
    <w:rsid w:val="0042261B"/>
    <w:rsid w:val="004264D5"/>
    <w:rsid w:val="00426791"/>
    <w:rsid w:val="0043212C"/>
    <w:rsid w:val="00433E06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7A3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9765D"/>
    <w:rsid w:val="00497F8F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1FE5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CDA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43FC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B6A"/>
    <w:rsid w:val="00851EAF"/>
    <w:rsid w:val="00855687"/>
    <w:rsid w:val="00860A4F"/>
    <w:rsid w:val="00860EAD"/>
    <w:rsid w:val="0086566F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38E8"/>
    <w:rsid w:val="00937091"/>
    <w:rsid w:val="00940053"/>
    <w:rsid w:val="00942D5B"/>
    <w:rsid w:val="009430F4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25E"/>
    <w:rsid w:val="009C6591"/>
    <w:rsid w:val="009C73F4"/>
    <w:rsid w:val="009D243A"/>
    <w:rsid w:val="009D6EF8"/>
    <w:rsid w:val="009E05F5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5E12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0BF1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2EA3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11D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B49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2193"/>
    <w:rsid w:val="00D94DD6"/>
    <w:rsid w:val="00D967A3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6D3B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224"/>
    <w:rsid w:val="00F71A7D"/>
    <w:rsid w:val="00F72EA6"/>
    <w:rsid w:val="00F7523A"/>
    <w:rsid w:val="00F77642"/>
    <w:rsid w:val="00F77B79"/>
    <w:rsid w:val="00F821CB"/>
    <w:rsid w:val="00F82B0D"/>
    <w:rsid w:val="00F83C07"/>
    <w:rsid w:val="00F83C6B"/>
    <w:rsid w:val="00F84DE9"/>
    <w:rsid w:val="00F947E1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CDD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uiPriority w:val="34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1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D0A0E80-BB37-4FCC-A8BC-7BD5AE9A829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3FDBF2A-38AA-482A-993C-65219ECB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Salome Kerashvili</cp:lastModifiedBy>
  <cp:revision>18</cp:revision>
  <dcterms:created xsi:type="dcterms:W3CDTF">2025-05-15T07:30:00Z</dcterms:created>
  <dcterms:modified xsi:type="dcterms:W3CDTF">2025-05-22T12:28:00Z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