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97A93" w14:textId="7E8F09CB" w:rsidR="008321ED" w:rsidRPr="0013250B" w:rsidRDefault="008321ED" w:rsidP="008321ED">
      <w:pPr>
        <w:spacing w:before="40"/>
        <w:ind w:left="101"/>
        <w:jc w:val="right"/>
        <w:rPr>
          <w:rFonts w:ascii="Sylfaen" w:eastAsia="Arial" w:hAnsi="Sylfaen" w:cs="Arial"/>
          <w:b/>
          <w:spacing w:val="1"/>
          <w:sz w:val="22"/>
          <w:lang w:val="ka-GE"/>
        </w:rPr>
      </w:pPr>
      <w:r w:rsidRPr="0013250B">
        <w:rPr>
          <w:rFonts w:ascii="Sylfaen" w:eastAsia="Arial" w:hAnsi="Sylfaen" w:cs="Arial"/>
          <w:b/>
          <w:spacing w:val="1"/>
          <w:sz w:val="22"/>
          <w:lang w:val="ka-GE"/>
        </w:rPr>
        <w:t xml:space="preserve">დანართი </w:t>
      </w:r>
      <w:r w:rsidR="00E621A4" w:rsidRPr="0013250B">
        <w:rPr>
          <w:rFonts w:ascii="Sylfaen" w:eastAsia="Arial" w:hAnsi="Sylfaen" w:cs="Arial"/>
          <w:b/>
          <w:spacing w:val="1"/>
          <w:sz w:val="22"/>
          <w:lang w:val="ka-GE"/>
        </w:rPr>
        <w:t>N</w:t>
      </w:r>
      <w:r w:rsidR="0013250B" w:rsidRPr="0013250B">
        <w:rPr>
          <w:rFonts w:ascii="Sylfaen" w:eastAsia="Arial" w:hAnsi="Sylfaen" w:cs="Arial"/>
          <w:b/>
          <w:spacing w:val="1"/>
          <w:sz w:val="22"/>
          <w:lang w:val="ka-GE"/>
        </w:rPr>
        <w:t>4</w:t>
      </w:r>
    </w:p>
    <w:p w14:paraId="28C045FA" w14:textId="77777777" w:rsidR="00B046B0" w:rsidRPr="0013250B" w:rsidRDefault="00B046B0" w:rsidP="00B046B0">
      <w:pPr>
        <w:spacing w:before="40"/>
        <w:ind w:left="101"/>
        <w:jc w:val="center"/>
        <w:rPr>
          <w:rFonts w:ascii="Sylfaen" w:eastAsia="Arial" w:hAnsi="Sylfaen" w:cs="Arial"/>
          <w:b/>
          <w:spacing w:val="1"/>
          <w:sz w:val="22"/>
          <w:lang w:val="ka-GE"/>
        </w:rPr>
      </w:pPr>
    </w:p>
    <w:p w14:paraId="043690B7" w14:textId="77777777" w:rsidR="00252CED" w:rsidRPr="0013250B" w:rsidRDefault="00252CED" w:rsidP="00B046B0">
      <w:pPr>
        <w:spacing w:before="40"/>
        <w:ind w:left="101"/>
        <w:jc w:val="center"/>
        <w:rPr>
          <w:rFonts w:ascii="Sylfaen" w:eastAsia="Arial" w:hAnsi="Sylfaen" w:cs="Arial"/>
          <w:b/>
          <w:spacing w:val="1"/>
          <w:sz w:val="22"/>
          <w:lang w:val="ka-GE"/>
        </w:rPr>
      </w:pPr>
    </w:p>
    <w:p w14:paraId="179FDBCD" w14:textId="52C0899A" w:rsidR="0013250B" w:rsidRPr="00A27F04" w:rsidRDefault="006A621F" w:rsidP="0013250B">
      <w:pPr>
        <w:spacing w:line="276" w:lineRule="auto"/>
        <w:jc w:val="center"/>
        <w:rPr>
          <w:rFonts w:ascii="Sylfaen" w:eastAsiaTheme="minorEastAsia" w:hAnsi="Sylfaen" w:cs="Sylfaen"/>
          <w:b/>
          <w:sz w:val="24"/>
          <w:lang w:val="ka-GE"/>
        </w:rPr>
      </w:pPr>
      <w:r w:rsidRPr="00A27F04">
        <w:rPr>
          <w:rFonts w:ascii="Sylfaen" w:eastAsia="Arial" w:hAnsi="Sylfaen" w:cs="Arial"/>
          <w:b/>
          <w:spacing w:val="1"/>
          <w:sz w:val="24"/>
        </w:rPr>
        <w:t xml:space="preserve"> </w:t>
      </w:r>
      <w:r w:rsidR="0013250B" w:rsidRPr="00A27F04">
        <w:rPr>
          <w:rFonts w:ascii="Sylfaen" w:eastAsiaTheme="minorEastAsia" w:hAnsi="Sylfaen" w:cs="Sylfaen"/>
          <w:b/>
          <w:sz w:val="24"/>
          <w:lang w:val="ka-GE"/>
        </w:rPr>
        <w:t>რისკის მართვის შესაბამისობის დეკლარაცია</w:t>
      </w:r>
    </w:p>
    <w:p w14:paraId="3F6BAF43" w14:textId="77777777" w:rsidR="0013250B" w:rsidRPr="0013250B" w:rsidRDefault="0013250B" w:rsidP="0013250B">
      <w:pPr>
        <w:spacing w:line="276" w:lineRule="auto"/>
        <w:jc w:val="center"/>
        <w:rPr>
          <w:rFonts w:ascii="Sylfaen" w:eastAsiaTheme="minorEastAsia" w:hAnsi="Sylfaen" w:cs="Sylfaen"/>
          <w:b/>
          <w:sz w:val="22"/>
          <w:lang w:val="ka-GE"/>
        </w:rPr>
      </w:pPr>
    </w:p>
    <w:p w14:paraId="6AC00A62" w14:textId="77777777" w:rsidR="0013250B" w:rsidRPr="0013250B" w:rsidRDefault="0013250B" w:rsidP="0013250B">
      <w:pPr>
        <w:spacing w:line="276" w:lineRule="auto"/>
        <w:jc w:val="both"/>
        <w:rPr>
          <w:rFonts w:ascii="Sylfaen" w:eastAsiaTheme="minorEastAsia" w:hAnsi="Sylfaen" w:cs="Sylfaen"/>
          <w:sz w:val="22"/>
          <w:lang w:val="ka-GE"/>
        </w:rPr>
      </w:pPr>
      <w:r w:rsidRPr="0013250B">
        <w:rPr>
          <w:rFonts w:ascii="Sylfaen" w:eastAsiaTheme="minorEastAsia" w:hAnsi="Sylfaen" w:cs="Sylfaen"/>
          <w:sz w:val="22"/>
          <w:lang w:val="ka-GE"/>
        </w:rPr>
        <w:t xml:space="preserve"> ამ წესის 48-ე მუხლის პირვე</w:t>
      </w:r>
      <w:bookmarkStart w:id="0" w:name="_GoBack"/>
      <w:bookmarkEnd w:id="0"/>
      <w:r w:rsidRPr="0013250B">
        <w:rPr>
          <w:rFonts w:ascii="Sylfaen" w:eastAsiaTheme="minorEastAsia" w:hAnsi="Sylfaen" w:cs="Sylfaen"/>
          <w:sz w:val="22"/>
          <w:lang w:val="ka-GE"/>
        </w:rPr>
        <w:t>ლი პუნქტის მიზნებისთვის, რისკის მართვის შესაბამისობის დეკლარაცია უნდა ადასტურებდეს, რომ:</w:t>
      </w:r>
    </w:p>
    <w:p w14:paraId="645B334E" w14:textId="159BA882" w:rsidR="0013250B" w:rsidRPr="0013250B" w:rsidRDefault="0013250B" w:rsidP="001C4CAD">
      <w:pPr>
        <w:spacing w:line="276" w:lineRule="auto"/>
        <w:jc w:val="both"/>
        <w:rPr>
          <w:rFonts w:ascii="Sylfaen" w:eastAsiaTheme="minorEastAsia" w:hAnsi="Sylfaen" w:cs="Sylfaen"/>
          <w:sz w:val="22"/>
          <w:lang w:val="ka-GE"/>
        </w:rPr>
      </w:pPr>
      <w:r w:rsidRPr="0013250B">
        <w:rPr>
          <w:rFonts w:ascii="Sylfaen" w:eastAsiaTheme="minorEastAsia" w:hAnsi="Sylfaen" w:cs="Sylfaen"/>
          <w:sz w:val="22"/>
          <w:lang w:val="ka-GE"/>
        </w:rPr>
        <w:t>ა) საპენსიო ფონდს დანერგილი აქვს რისკის მართვის სისტემა ამ წესის მოთხოვნათა დაცვით;</w:t>
      </w:r>
    </w:p>
    <w:p w14:paraId="19CC3225" w14:textId="0F9C337C" w:rsidR="0013250B" w:rsidRPr="0013250B" w:rsidRDefault="0013250B" w:rsidP="001C4CAD">
      <w:pPr>
        <w:spacing w:line="276" w:lineRule="auto"/>
        <w:jc w:val="both"/>
        <w:rPr>
          <w:rFonts w:ascii="Sylfaen" w:eastAsiaTheme="minorEastAsia" w:hAnsi="Sylfaen" w:cs="Sylfaen"/>
          <w:sz w:val="22"/>
          <w:lang w:val="ka-GE"/>
        </w:rPr>
      </w:pPr>
      <w:r w:rsidRPr="0013250B">
        <w:rPr>
          <w:rFonts w:ascii="Sylfaen" w:eastAsiaTheme="minorEastAsia" w:hAnsi="Sylfaen" w:cs="Sylfaen"/>
          <w:sz w:val="22"/>
          <w:lang w:val="ka-GE"/>
        </w:rPr>
        <w:t>ბ)სისტემები და რესურსები, რომელიც არსებობს რისკების მართვისა და მონიტორინგისათვის, შეესაბამება საპენსიო ფონდის საქმიანობას;</w:t>
      </w:r>
    </w:p>
    <w:p w14:paraId="49AC841E" w14:textId="766FCE9F" w:rsidR="0013250B" w:rsidRPr="0013250B" w:rsidRDefault="0013250B" w:rsidP="001C4CAD">
      <w:pPr>
        <w:spacing w:line="276" w:lineRule="auto"/>
        <w:jc w:val="both"/>
        <w:rPr>
          <w:rFonts w:ascii="Sylfaen" w:eastAsiaTheme="minorEastAsia" w:hAnsi="Sylfaen" w:cs="Sylfaen"/>
          <w:sz w:val="22"/>
          <w:lang w:val="ka-GE"/>
        </w:rPr>
      </w:pPr>
      <w:r w:rsidRPr="0013250B">
        <w:rPr>
          <w:rFonts w:ascii="Sylfaen" w:eastAsiaTheme="minorEastAsia" w:hAnsi="Sylfaen" w:cs="Sylfaen"/>
          <w:sz w:val="22"/>
          <w:lang w:val="ka-GE"/>
        </w:rPr>
        <w:t>გ) საპენსიო ფონდს შეფასებული აქვს აუთსორსინგული მომსახურების რისკები ნებისმიერი საქმიანობისთვის და დარწმუნებულია, რომ რისკები და მასთან დაკავშირებული  კონტროლის ზომები არის საპენსიო ფონდის ზომის, ბუნების, მასშტაბისა და კომპლექსურობის ადეკვატური;</w:t>
      </w:r>
    </w:p>
    <w:p w14:paraId="7A554218" w14:textId="3A569AE7" w:rsidR="0013250B" w:rsidRPr="0013250B" w:rsidRDefault="0013250B" w:rsidP="001C4CAD">
      <w:pPr>
        <w:spacing w:line="276" w:lineRule="auto"/>
        <w:jc w:val="both"/>
        <w:rPr>
          <w:rFonts w:ascii="Sylfaen" w:eastAsiaTheme="minorEastAsia" w:hAnsi="Sylfaen" w:cs="Sylfaen"/>
          <w:sz w:val="22"/>
          <w:lang w:val="ka-GE"/>
        </w:rPr>
      </w:pPr>
      <w:r w:rsidRPr="0013250B">
        <w:rPr>
          <w:rFonts w:ascii="Sylfaen" w:eastAsiaTheme="minorEastAsia" w:hAnsi="Sylfaen" w:cs="Sylfaen"/>
          <w:sz w:val="22"/>
          <w:lang w:val="ka-GE"/>
        </w:rPr>
        <w:t>დ) არსებული რისკის მართვისა და შიდა კონტროლის სისტემა ეფექტურად მუშაობს და არის პოტენციური  რისკების ადეკვატური;</w:t>
      </w:r>
    </w:p>
    <w:p w14:paraId="33D592B3" w14:textId="654EA84E" w:rsidR="0013250B" w:rsidRPr="0013250B" w:rsidRDefault="0013250B" w:rsidP="001C4CAD">
      <w:pPr>
        <w:spacing w:line="276" w:lineRule="auto"/>
        <w:jc w:val="both"/>
        <w:rPr>
          <w:rFonts w:ascii="Sylfaen" w:eastAsiaTheme="minorEastAsia" w:hAnsi="Sylfaen" w:cs="Sylfaen"/>
          <w:sz w:val="22"/>
          <w:lang w:val="ka-GE"/>
        </w:rPr>
      </w:pPr>
      <w:r w:rsidRPr="0013250B">
        <w:rPr>
          <w:rFonts w:ascii="Sylfaen" w:eastAsiaTheme="minorEastAsia" w:hAnsi="Sylfaen" w:cs="Sylfaen"/>
          <w:sz w:val="22"/>
          <w:lang w:val="ka-GE"/>
        </w:rPr>
        <w:t xml:space="preserve">ე) საპენსიო ფონდი შესაბამისობაშია ამ წესის თანახმად შემუშავებული      რისკის მართვის ჩარჩოსთან; </w:t>
      </w:r>
    </w:p>
    <w:p w14:paraId="236999CC" w14:textId="77777777" w:rsidR="0013250B" w:rsidRPr="0013250B" w:rsidRDefault="0013250B" w:rsidP="001C4CAD">
      <w:pPr>
        <w:spacing w:line="276" w:lineRule="auto"/>
        <w:jc w:val="both"/>
        <w:rPr>
          <w:rFonts w:ascii="Sylfaen" w:eastAsiaTheme="minorEastAsia" w:hAnsi="Sylfaen" w:cs="Sylfaen"/>
          <w:sz w:val="22"/>
          <w:lang w:val="ka-GE"/>
        </w:rPr>
      </w:pPr>
      <w:r w:rsidRPr="0013250B">
        <w:rPr>
          <w:rFonts w:ascii="Sylfaen" w:eastAsiaTheme="minorEastAsia" w:hAnsi="Sylfaen" w:cs="Sylfaen"/>
          <w:sz w:val="22"/>
          <w:lang w:val="ka-GE"/>
        </w:rPr>
        <w:t>ვ) საპენსიო ფონდს აქვს ანგარიშგების და შიდა კონტროლის სათანადო სისტემები სწორი ფინანსური და სტატისტიკური ინფორმაციის მოსამზადებლად;</w:t>
      </w:r>
    </w:p>
    <w:p w14:paraId="253DE680" w14:textId="77777777" w:rsidR="0013250B" w:rsidRPr="0013250B" w:rsidRDefault="0013250B" w:rsidP="001C4CAD">
      <w:pPr>
        <w:spacing w:line="276" w:lineRule="auto"/>
        <w:jc w:val="both"/>
        <w:rPr>
          <w:rFonts w:ascii="Sylfaen" w:eastAsiaTheme="minorEastAsia" w:hAnsi="Sylfaen" w:cs="Sylfaen"/>
          <w:sz w:val="22"/>
          <w:lang w:val="ka-GE"/>
        </w:rPr>
      </w:pPr>
      <w:r w:rsidRPr="0013250B">
        <w:rPr>
          <w:rFonts w:ascii="Sylfaen" w:eastAsiaTheme="minorEastAsia" w:hAnsi="Sylfaen" w:cs="Sylfaen"/>
          <w:sz w:val="22"/>
          <w:lang w:val="ka-GE"/>
        </w:rPr>
        <w:t>ზ) საპენსიო ფონდის მიერ წარმოდგენილი ინფორმაცია უტყუარი და ზუსტია.</w:t>
      </w:r>
    </w:p>
    <w:p w14:paraId="55EE5362" w14:textId="0D51D688" w:rsidR="008321ED" w:rsidRPr="0013250B" w:rsidRDefault="008321ED" w:rsidP="0013250B">
      <w:pPr>
        <w:spacing w:before="40"/>
        <w:ind w:left="101"/>
        <w:jc w:val="center"/>
        <w:rPr>
          <w:rFonts w:ascii="Sylfaen" w:hAnsi="Sylfaen"/>
          <w:sz w:val="22"/>
          <w:lang w:val="ka-GE"/>
        </w:rPr>
      </w:pPr>
    </w:p>
    <w:p w14:paraId="467221A5" w14:textId="77777777" w:rsidR="000174BD" w:rsidRPr="0013250B" w:rsidRDefault="000174BD" w:rsidP="000174BD">
      <w:pPr>
        <w:rPr>
          <w:rFonts w:ascii="Sylfaen" w:eastAsia="Arial" w:hAnsi="Sylfaen"/>
          <w:sz w:val="22"/>
          <w:lang w:val="ka-GE"/>
        </w:rPr>
      </w:pPr>
    </w:p>
    <w:p w14:paraId="7ACD6066" w14:textId="6257464B" w:rsidR="008321ED" w:rsidRPr="0013250B" w:rsidRDefault="005E2657" w:rsidP="008321ED">
      <w:pPr>
        <w:pStyle w:val="Heading1"/>
        <w:rPr>
          <w:rFonts w:ascii="Sylfaen" w:eastAsia="Arial" w:hAnsi="Sylfaen" w:cs="Arial"/>
          <w:color w:val="auto"/>
          <w:spacing w:val="-1"/>
          <w:sz w:val="22"/>
          <w:szCs w:val="20"/>
          <w:lang w:val="ka-GE"/>
        </w:rPr>
      </w:pPr>
      <w:r w:rsidRPr="0013250B">
        <w:rPr>
          <w:rFonts w:ascii="Sylfaen" w:eastAsia="Arial" w:hAnsi="Sylfaen" w:cs="Arial"/>
          <w:color w:val="auto"/>
          <w:spacing w:val="-1"/>
          <w:sz w:val="22"/>
          <w:szCs w:val="20"/>
          <w:lang w:val="ka-GE"/>
        </w:rPr>
        <w:t>ხელმოწერა</w:t>
      </w:r>
      <w:r w:rsidR="001C4CAD">
        <w:rPr>
          <w:rFonts w:ascii="Sylfaen" w:eastAsia="Arial" w:hAnsi="Sylfaen" w:cs="Arial"/>
          <w:color w:val="auto"/>
          <w:spacing w:val="-1"/>
          <w:sz w:val="22"/>
          <w:szCs w:val="20"/>
          <w:lang w:val="ka-GE"/>
        </w:rPr>
        <w:t>/ხელმოწერები</w:t>
      </w:r>
      <w:r w:rsidR="008321ED" w:rsidRPr="0013250B">
        <w:rPr>
          <w:rFonts w:ascii="Sylfaen" w:eastAsia="Arial" w:hAnsi="Sylfaen" w:cs="Arial"/>
          <w:color w:val="auto"/>
          <w:spacing w:val="-1"/>
          <w:sz w:val="22"/>
          <w:szCs w:val="20"/>
          <w:lang w:val="ka-GE"/>
        </w:rPr>
        <w:t>:</w:t>
      </w:r>
    </w:p>
    <w:p w14:paraId="33F82FB4" w14:textId="197A9E79" w:rsidR="008321ED" w:rsidRPr="0013250B" w:rsidRDefault="005E2657" w:rsidP="008321ED">
      <w:pPr>
        <w:pStyle w:val="Heading1"/>
        <w:rPr>
          <w:rFonts w:ascii="Sylfaen" w:eastAsia="Arial" w:hAnsi="Sylfaen" w:cs="Arial"/>
          <w:color w:val="auto"/>
          <w:spacing w:val="-1"/>
          <w:sz w:val="22"/>
          <w:szCs w:val="20"/>
          <w:lang w:val="ka-GE"/>
        </w:rPr>
      </w:pPr>
      <w:r w:rsidRPr="0013250B">
        <w:rPr>
          <w:rFonts w:ascii="Sylfaen" w:eastAsia="Arial" w:hAnsi="Sylfaen" w:cs="Arial"/>
          <w:color w:val="auto"/>
          <w:spacing w:val="-1"/>
          <w:sz w:val="22"/>
          <w:szCs w:val="20"/>
          <w:lang w:val="ka-GE"/>
        </w:rPr>
        <w:t>თარიღი</w:t>
      </w:r>
      <w:r w:rsidR="008321ED" w:rsidRPr="0013250B">
        <w:rPr>
          <w:rFonts w:ascii="Sylfaen" w:eastAsia="Arial" w:hAnsi="Sylfaen" w:cs="Arial"/>
          <w:color w:val="auto"/>
          <w:spacing w:val="-1"/>
          <w:sz w:val="22"/>
          <w:szCs w:val="20"/>
          <w:lang w:val="ka-GE"/>
        </w:rPr>
        <w:t>:</w:t>
      </w:r>
    </w:p>
    <w:p w14:paraId="534ACF9A" w14:textId="0CF48698" w:rsidR="00A11DC8" w:rsidRPr="00574F78" w:rsidRDefault="00A11DC8" w:rsidP="008321ED">
      <w:pPr>
        <w:pStyle w:val="Heading1"/>
        <w:rPr>
          <w:rFonts w:ascii="Sylfaen" w:hAnsi="Sylfaen"/>
          <w:sz w:val="20"/>
          <w:szCs w:val="20"/>
          <w:lang w:val="ka-GE"/>
        </w:rPr>
      </w:pPr>
    </w:p>
    <w:sectPr w:rsidR="00A11DC8" w:rsidRPr="00574F78" w:rsidSect="00574F78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443AF" w14:textId="77777777" w:rsidR="00725935" w:rsidRDefault="00725935" w:rsidP="00D05D67">
      <w:r>
        <w:separator/>
      </w:r>
    </w:p>
  </w:endnote>
  <w:endnote w:type="continuationSeparator" w:id="0">
    <w:p w14:paraId="6F8EA616" w14:textId="77777777" w:rsidR="00725935" w:rsidRDefault="00725935" w:rsidP="00D0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50711" w14:textId="77777777" w:rsidR="00725935" w:rsidRDefault="00725935" w:rsidP="00D05D67">
      <w:r>
        <w:separator/>
      </w:r>
    </w:p>
  </w:footnote>
  <w:footnote w:type="continuationSeparator" w:id="0">
    <w:p w14:paraId="198BEA9F" w14:textId="77777777" w:rsidR="00725935" w:rsidRDefault="00725935" w:rsidP="00D0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BE2"/>
    <w:multiLevelType w:val="hybridMultilevel"/>
    <w:tmpl w:val="E6B2E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17D2C"/>
    <w:multiLevelType w:val="hybridMultilevel"/>
    <w:tmpl w:val="6AC0B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58B4"/>
    <w:multiLevelType w:val="hybridMultilevel"/>
    <w:tmpl w:val="90F0B8F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16"/>
    <w:rsid w:val="000174BD"/>
    <w:rsid w:val="00022FBD"/>
    <w:rsid w:val="000230AA"/>
    <w:rsid w:val="0003579F"/>
    <w:rsid w:val="00043DAE"/>
    <w:rsid w:val="00054A1D"/>
    <w:rsid w:val="00062AF8"/>
    <w:rsid w:val="00067C16"/>
    <w:rsid w:val="000800D5"/>
    <w:rsid w:val="000B5795"/>
    <w:rsid w:val="000C4CCE"/>
    <w:rsid w:val="000D5FEA"/>
    <w:rsid w:val="00101A60"/>
    <w:rsid w:val="0011361B"/>
    <w:rsid w:val="00114660"/>
    <w:rsid w:val="0013250B"/>
    <w:rsid w:val="00134375"/>
    <w:rsid w:val="001409DE"/>
    <w:rsid w:val="00153645"/>
    <w:rsid w:val="001657C8"/>
    <w:rsid w:val="0016730E"/>
    <w:rsid w:val="00186169"/>
    <w:rsid w:val="001C4CAD"/>
    <w:rsid w:val="001D4458"/>
    <w:rsid w:val="001D7022"/>
    <w:rsid w:val="001E2ED3"/>
    <w:rsid w:val="001F639E"/>
    <w:rsid w:val="00227525"/>
    <w:rsid w:val="00252CED"/>
    <w:rsid w:val="0025340D"/>
    <w:rsid w:val="00276B5D"/>
    <w:rsid w:val="002A4688"/>
    <w:rsid w:val="002C4F70"/>
    <w:rsid w:val="002D6678"/>
    <w:rsid w:val="00335676"/>
    <w:rsid w:val="00393428"/>
    <w:rsid w:val="003A7083"/>
    <w:rsid w:val="003B1CA1"/>
    <w:rsid w:val="003C2D15"/>
    <w:rsid w:val="003D39B9"/>
    <w:rsid w:val="003E2312"/>
    <w:rsid w:val="004104B6"/>
    <w:rsid w:val="00452ABE"/>
    <w:rsid w:val="00470DCC"/>
    <w:rsid w:val="00480F52"/>
    <w:rsid w:val="00481CF1"/>
    <w:rsid w:val="004E01A7"/>
    <w:rsid w:val="004E6906"/>
    <w:rsid w:val="0052358A"/>
    <w:rsid w:val="00574F78"/>
    <w:rsid w:val="00585427"/>
    <w:rsid w:val="005B0B3E"/>
    <w:rsid w:val="005E2657"/>
    <w:rsid w:val="005E3F68"/>
    <w:rsid w:val="00625EF1"/>
    <w:rsid w:val="00627B55"/>
    <w:rsid w:val="00664FF5"/>
    <w:rsid w:val="00693571"/>
    <w:rsid w:val="006A4765"/>
    <w:rsid w:val="006A621F"/>
    <w:rsid w:val="006B5BF0"/>
    <w:rsid w:val="006C3798"/>
    <w:rsid w:val="006D7661"/>
    <w:rsid w:val="007021A5"/>
    <w:rsid w:val="00711F0E"/>
    <w:rsid w:val="00725935"/>
    <w:rsid w:val="00753BCB"/>
    <w:rsid w:val="00773DA2"/>
    <w:rsid w:val="0079058E"/>
    <w:rsid w:val="007A1848"/>
    <w:rsid w:val="007B3DDE"/>
    <w:rsid w:val="007C68B0"/>
    <w:rsid w:val="007E3A52"/>
    <w:rsid w:val="00805C3D"/>
    <w:rsid w:val="008321ED"/>
    <w:rsid w:val="00846AAF"/>
    <w:rsid w:val="008A21EE"/>
    <w:rsid w:val="00931EF2"/>
    <w:rsid w:val="00937985"/>
    <w:rsid w:val="00966B9C"/>
    <w:rsid w:val="009768A2"/>
    <w:rsid w:val="00977705"/>
    <w:rsid w:val="009C5991"/>
    <w:rsid w:val="009E0141"/>
    <w:rsid w:val="009E5BAE"/>
    <w:rsid w:val="009F3D4D"/>
    <w:rsid w:val="00A11DC8"/>
    <w:rsid w:val="00A27F04"/>
    <w:rsid w:val="00A41805"/>
    <w:rsid w:val="00A47B27"/>
    <w:rsid w:val="00A700E6"/>
    <w:rsid w:val="00A74D6B"/>
    <w:rsid w:val="00AB10C1"/>
    <w:rsid w:val="00B046B0"/>
    <w:rsid w:val="00B467F0"/>
    <w:rsid w:val="00BA0A52"/>
    <w:rsid w:val="00BC7DF9"/>
    <w:rsid w:val="00C177D7"/>
    <w:rsid w:val="00C17E52"/>
    <w:rsid w:val="00CA73F0"/>
    <w:rsid w:val="00CC017F"/>
    <w:rsid w:val="00CD0602"/>
    <w:rsid w:val="00CF7B06"/>
    <w:rsid w:val="00D01CC6"/>
    <w:rsid w:val="00D05D67"/>
    <w:rsid w:val="00D529AA"/>
    <w:rsid w:val="00D660B6"/>
    <w:rsid w:val="00DB7A67"/>
    <w:rsid w:val="00DC14CD"/>
    <w:rsid w:val="00DC72B9"/>
    <w:rsid w:val="00E071FE"/>
    <w:rsid w:val="00E416B3"/>
    <w:rsid w:val="00E621A4"/>
    <w:rsid w:val="00F1019A"/>
    <w:rsid w:val="00F50B76"/>
    <w:rsid w:val="00F60776"/>
    <w:rsid w:val="00FB596A"/>
    <w:rsid w:val="00FC1539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D09FC"/>
  <w15:chartTrackingRefBased/>
  <w15:docId w15:val="{7D5791F3-26F8-4C5F-A9B5-7BDC4581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1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046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05D6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D6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5D6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B0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B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B3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B3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B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B3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3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79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3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79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aWxva2hpc2h2aWxpPC9Vc2VyTmFtZT48RGF0ZVRpbWU+OS8yOS8yMDIyIDU6MTQ6MTMgUE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ED60D297-EFDF-4AE1-8051-648A3996CA8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9C91FAE2-A005-4591-BE8E-3FE4F3F473B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 Ebanoidze</dc:creator>
  <cp:keywords/>
  <dc:description/>
  <cp:lastModifiedBy>NBG</cp:lastModifiedBy>
  <cp:revision>8</cp:revision>
  <dcterms:created xsi:type="dcterms:W3CDTF">2025-02-03T10:42:00Z</dcterms:created>
  <dcterms:modified xsi:type="dcterms:W3CDTF">2025-02-05T10:39:00Z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f0dc8e09-f1c4-46dd-83b2-75e479098cda</vt:lpwstr>
  </property>
  <property fmtid="{D5CDD505-2E9C-101B-9397-08002B2CF9AE}" pid="3" name="bjSaver">
    <vt:lpwstr>JWVPCJkrERvW7Npddvhg52MwBfSmNuHj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{ED60D297-EFDF-4AE1-8051-648A3996CA86}</vt:lpwstr>
  </property>
</Properties>
</file>