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A73" w:rsidRPr="00E233C4" w:rsidRDefault="00E233C4" w:rsidP="00E233C4">
      <w:pPr>
        <w:jc w:val="center"/>
        <w:rPr>
          <w:b/>
          <w:lang w:val="ka-GE"/>
        </w:rPr>
      </w:pPr>
      <w:bookmarkStart w:id="0" w:name="_GoBack"/>
      <w:r w:rsidRPr="00E233C4">
        <w:rPr>
          <w:b/>
          <w:lang w:val="ka-GE"/>
        </w:rPr>
        <w:t>განმარტებითი ბარათი</w:t>
      </w:r>
    </w:p>
    <w:p w:rsidR="00E233C4" w:rsidRDefault="00E233C4" w:rsidP="00E233C4">
      <w:pPr>
        <w:jc w:val="center"/>
        <w:rPr>
          <w:b/>
          <w:lang w:val="ka-GE"/>
        </w:rPr>
      </w:pPr>
      <w:r w:rsidRPr="00E233C4">
        <w:rPr>
          <w:b/>
          <w:lang w:val="ka-GE"/>
        </w:rPr>
        <w:t>„</w:t>
      </w:r>
      <w:r w:rsidR="001C493D" w:rsidRPr="001C493D">
        <w:rPr>
          <w:b/>
          <w:lang w:val="ka-GE"/>
        </w:rPr>
        <w:t>საინვესტიციო ფონდის ავტორიზაციის, რეგისტრაციის, აღიარებისა და რეგულირების წესის დამტკიცების თაობაზე</w:t>
      </w:r>
      <w:r w:rsidRPr="00E233C4">
        <w:rPr>
          <w:b/>
          <w:lang w:val="ka-GE"/>
        </w:rPr>
        <w:t xml:space="preserve">“ საქართველოს ეროვნული ბანკის პრეზიდენტის 2020 წლის 22 სექტემბრის </w:t>
      </w:r>
      <w:r w:rsidR="001C493D">
        <w:rPr>
          <w:b/>
        </w:rPr>
        <w:t>N1</w:t>
      </w:r>
      <w:r w:rsidRPr="00E233C4">
        <w:rPr>
          <w:b/>
        </w:rPr>
        <w:t>7</w:t>
      </w:r>
      <w:r w:rsidR="001C493D">
        <w:rPr>
          <w:b/>
          <w:lang w:val="ka-GE"/>
        </w:rPr>
        <w:t>0</w:t>
      </w:r>
      <w:r w:rsidRPr="00E233C4">
        <w:rPr>
          <w:b/>
        </w:rPr>
        <w:t>/04</w:t>
      </w:r>
      <w:r w:rsidRPr="00E233C4">
        <w:rPr>
          <w:b/>
          <w:lang w:val="ka-GE"/>
        </w:rPr>
        <w:t xml:space="preserve"> ბრძანებაში ცვლილების შეტანის შესახებ“ საქართველოს ეროვნული ბანკის პრეზიდენტის ბრძანების პროექტზე</w:t>
      </w:r>
    </w:p>
    <w:p w:rsidR="00B14061" w:rsidRDefault="00F7759C" w:rsidP="00051801">
      <w:pPr>
        <w:jc w:val="both"/>
        <w:rPr>
          <w:lang w:val="ka-GE"/>
        </w:rPr>
      </w:pPr>
      <w:r w:rsidRPr="00051801">
        <w:rPr>
          <w:lang w:val="ka-GE"/>
        </w:rPr>
        <w:t>პ</w:t>
      </w:r>
      <w:r w:rsidR="00051801">
        <w:rPr>
          <w:lang w:val="ka-GE"/>
        </w:rPr>
        <w:t xml:space="preserve">რაქტიკული გამოცდილების გათვალისწინებით, მნიშვნელოვანი გახდა </w:t>
      </w:r>
      <w:r w:rsidR="00051801" w:rsidRPr="00051801">
        <w:rPr>
          <w:lang w:val="ka-GE"/>
        </w:rPr>
        <w:t>„</w:t>
      </w:r>
      <w:r w:rsidR="001C493D" w:rsidRPr="001C493D">
        <w:rPr>
          <w:lang w:val="ka-GE"/>
        </w:rPr>
        <w:t>საინვესტიციო ფონდის ავტორიზაციის, რეგისტრაციის, აღიარებისა და რეგულირების წესის დამტკიცების თაობაზე</w:t>
      </w:r>
      <w:r w:rsidR="00051801" w:rsidRPr="00051801">
        <w:rPr>
          <w:lang w:val="ka-GE"/>
        </w:rPr>
        <w:t xml:space="preserve">“ საქართველოს ეროვნული ბანკის პრეზიდენტის 2020 წლის 22 სექტემბრის </w:t>
      </w:r>
      <w:r w:rsidR="001C493D">
        <w:t>N1</w:t>
      </w:r>
      <w:r w:rsidR="00051801" w:rsidRPr="00051801">
        <w:t>7</w:t>
      </w:r>
      <w:r w:rsidR="001C493D">
        <w:rPr>
          <w:lang w:val="ka-GE"/>
        </w:rPr>
        <w:t>0</w:t>
      </w:r>
      <w:r w:rsidR="00051801" w:rsidRPr="00051801">
        <w:t>/04</w:t>
      </w:r>
      <w:r w:rsidR="00051801" w:rsidRPr="00051801">
        <w:rPr>
          <w:lang w:val="ka-GE"/>
        </w:rPr>
        <w:t xml:space="preserve"> ბრძანებაში</w:t>
      </w:r>
      <w:r w:rsidR="00051801">
        <w:rPr>
          <w:lang w:val="ka-GE"/>
        </w:rPr>
        <w:t xml:space="preserve"> </w:t>
      </w:r>
      <w:r w:rsidR="001C493D">
        <w:rPr>
          <w:lang w:val="ka-GE"/>
        </w:rPr>
        <w:t xml:space="preserve">(შემდგომში - „წესი) </w:t>
      </w:r>
      <w:r w:rsidR="00051801">
        <w:rPr>
          <w:lang w:val="ka-GE"/>
        </w:rPr>
        <w:t xml:space="preserve">ცვლილების შეტანა. ცვლილება ეხება </w:t>
      </w:r>
      <w:r w:rsidR="001C493D">
        <w:rPr>
          <w:lang w:val="ka-GE"/>
        </w:rPr>
        <w:t xml:space="preserve">საინვესტიციო ფონდის </w:t>
      </w:r>
      <w:r w:rsidR="00051801">
        <w:rPr>
          <w:lang w:val="ka-GE"/>
        </w:rPr>
        <w:t xml:space="preserve">მმართველი ორგანოს წევრებისა და მნიშვნელოვანი წილის მფლობელების შესაფერისობის კრიტერიუმების განსაზღვრას. აღნიშნული ინიციატივა, ასევე, განპირობებულია საერთაშორისო საკანონმდებლო ჩარჩოსა და საუკეთესო პრაქტიკის ანალიზით, რომლის მიხედვითაც აღნიშნული საკითხი უფრო  დეტალური და მკაფიო რეგულირებას ექვემდებარება, რაც განსხვავდება მოქმედი რედაქციისგან. </w:t>
      </w:r>
    </w:p>
    <w:p w:rsidR="001C493D" w:rsidRDefault="001C493D" w:rsidP="004C6D75">
      <w:pPr>
        <w:jc w:val="both"/>
        <w:rPr>
          <w:lang w:val="ka-GE"/>
        </w:rPr>
      </w:pPr>
      <w:r>
        <w:rPr>
          <w:lang w:val="ka-GE"/>
        </w:rPr>
        <w:t>იცვლება წესის მე-</w:t>
      </w:r>
      <w:r w:rsidRPr="001C493D">
        <w:rPr>
          <w:lang w:val="ka-GE"/>
        </w:rPr>
        <w:t xml:space="preserve">3 მუხლის ის პუნქტები, რომელიც მითითებას აკეთებს </w:t>
      </w:r>
      <w:r w:rsidRPr="001C493D">
        <w:rPr>
          <w:lang w:val="ka-GE"/>
        </w:rPr>
        <w:t>„</w:t>
      </w:r>
      <w:r w:rsidRPr="001C493D">
        <w:rPr>
          <w:lang w:val="ka-GE"/>
        </w:rPr>
        <w:t>აქტივების მმართველი კომპანიის ლიცენზირების, რეგისტრაციის, აღიარებისა და რეგულირების წესის დამტკიცების თაობაზე</w:t>
      </w:r>
      <w:r w:rsidRPr="001C493D">
        <w:rPr>
          <w:lang w:val="ka-GE"/>
        </w:rPr>
        <w:t xml:space="preserve">“ საქართველოს ეროვნული ბანკის პრეზიდენტის 2020 წლის 22 სექტემბრის </w:t>
      </w:r>
      <w:r w:rsidRPr="001C493D">
        <w:t>N1</w:t>
      </w:r>
      <w:r w:rsidRPr="001C493D">
        <w:t>67</w:t>
      </w:r>
      <w:r w:rsidRPr="001C493D">
        <w:t>/</w:t>
      </w:r>
      <w:r w:rsidRPr="001C493D">
        <w:rPr>
          <w:lang w:val="ka-GE"/>
        </w:rPr>
        <w:t>0</w:t>
      </w:r>
      <w:r w:rsidRPr="001C493D">
        <w:t>4</w:t>
      </w:r>
      <w:r w:rsidRPr="001C493D">
        <w:rPr>
          <w:lang w:val="ka-GE"/>
        </w:rPr>
        <w:t xml:space="preserve"> </w:t>
      </w:r>
      <w:r w:rsidRPr="001C493D">
        <w:rPr>
          <w:lang w:val="ka-GE"/>
        </w:rPr>
        <w:t>ბრძანებაზე, რადგან საინვესტიციო ფონდის მმართველი ორგანოს წევრებისა და მნივნელოვანი წილის მფლობელების შესაფერისობის კრიტერიუმები დეტალურად გაწერილია ზემოაღნიშნულ ბრძანებაში.</w:t>
      </w:r>
      <w:r>
        <w:rPr>
          <w:b/>
          <w:lang w:val="ka-GE"/>
        </w:rPr>
        <w:t xml:space="preserve"> </w:t>
      </w:r>
    </w:p>
    <w:p w:rsidR="004C6D75" w:rsidRPr="00B063C9" w:rsidRDefault="004C6D75" w:rsidP="004C6D75">
      <w:pPr>
        <w:jc w:val="both"/>
        <w:rPr>
          <w:rFonts w:eastAsia="Calibri" w:cs="Calibri"/>
          <w:lang w:val="ka-GE"/>
        </w:rPr>
      </w:pPr>
      <w:r w:rsidRPr="00B063C9">
        <w:rPr>
          <w:rFonts w:eastAsia="Sylfaen" w:cs="Sylfaen"/>
          <w:lang w:val="ka-GE"/>
        </w:rPr>
        <w:t>ბრძანების პროექტის მიღება არ იქონიებს გავლენას სახელმწიფო ბიუჯეტის ხარჯვით</w:t>
      </w:r>
      <w:r w:rsidRPr="00B063C9">
        <w:rPr>
          <w:rFonts w:eastAsia="Sylfaen" w:cs="Sylfaen"/>
          <w:spacing w:val="-5"/>
          <w:lang w:val="ka-GE"/>
        </w:rPr>
        <w:t xml:space="preserve"> </w:t>
      </w:r>
      <w:r w:rsidRPr="00B063C9">
        <w:rPr>
          <w:rFonts w:eastAsia="Sylfaen" w:cs="Sylfaen"/>
          <w:lang w:val="ka-GE"/>
        </w:rPr>
        <w:t>ნაწილზე</w:t>
      </w:r>
      <w:r w:rsidRPr="00B063C9">
        <w:rPr>
          <w:rFonts w:eastAsia="Calibri" w:cs="Calibri"/>
          <w:lang w:val="ka-GE"/>
        </w:rPr>
        <w:t>.</w:t>
      </w:r>
    </w:p>
    <w:p w:rsidR="004C6D75" w:rsidRPr="00B063C9" w:rsidRDefault="004C6D75" w:rsidP="004C6D75">
      <w:pPr>
        <w:spacing w:line="276" w:lineRule="auto"/>
        <w:ind w:right="157"/>
        <w:jc w:val="both"/>
        <w:rPr>
          <w:rFonts w:eastAsia="Calibri" w:cs="Calibri"/>
          <w:lang w:val="ka-GE"/>
        </w:rPr>
      </w:pPr>
      <w:r w:rsidRPr="00B063C9">
        <w:rPr>
          <w:rFonts w:eastAsia="Calibri" w:cs="Calibri"/>
          <w:lang w:val="ka-GE"/>
        </w:rPr>
        <w:t>ბრძანების გამოცემით გენდერული თანასწორობის მდგომარეობაზე ზეგავლენის მოხდენა მოსალოდნელი არ არის.</w:t>
      </w:r>
    </w:p>
    <w:p w:rsidR="004C6D75" w:rsidRPr="00803440" w:rsidRDefault="004C6D75" w:rsidP="004C6D75">
      <w:pPr>
        <w:rPr>
          <w:rFonts w:eastAsia="Calibri" w:cs="Calibri"/>
          <w:lang w:val="ka-GE"/>
        </w:rPr>
      </w:pPr>
      <w:r w:rsidRPr="00B063C9">
        <w:rPr>
          <w:rFonts w:eastAsia="Sylfaen" w:cs="Sylfaen"/>
          <w:lang w:val="ka-GE"/>
        </w:rPr>
        <w:t>ბრძანების პროექტის</w:t>
      </w:r>
      <w:r w:rsidRPr="00B063C9">
        <w:rPr>
          <w:rFonts w:eastAsia="Sylfaen" w:cs="Sylfaen"/>
          <w:spacing w:val="-5"/>
          <w:lang w:val="ka-GE"/>
        </w:rPr>
        <w:t xml:space="preserve"> </w:t>
      </w:r>
      <w:r w:rsidRPr="00B063C9">
        <w:rPr>
          <w:rFonts w:eastAsia="Sylfaen" w:cs="Sylfaen"/>
          <w:lang w:val="ka-GE"/>
        </w:rPr>
        <w:t>ავტორი</w:t>
      </w:r>
      <w:r w:rsidRPr="00B063C9">
        <w:rPr>
          <w:rFonts w:eastAsia="Sylfaen" w:cs="Sylfaen"/>
          <w:spacing w:val="-5"/>
          <w:lang w:val="ka-GE"/>
        </w:rPr>
        <w:t xml:space="preserve"> </w:t>
      </w:r>
      <w:r w:rsidRPr="00B063C9">
        <w:rPr>
          <w:rFonts w:eastAsia="Sylfaen" w:cs="Sylfaen"/>
          <w:lang w:val="ka-GE"/>
        </w:rPr>
        <w:t>და</w:t>
      </w:r>
      <w:r w:rsidRPr="00B063C9">
        <w:rPr>
          <w:rFonts w:eastAsia="Sylfaen" w:cs="Sylfaen"/>
          <w:spacing w:val="-5"/>
          <w:lang w:val="ka-GE"/>
        </w:rPr>
        <w:t xml:space="preserve"> </w:t>
      </w:r>
      <w:r w:rsidRPr="00B063C9">
        <w:rPr>
          <w:rFonts w:eastAsia="Sylfaen" w:cs="Sylfaen"/>
          <w:lang w:val="ka-GE"/>
        </w:rPr>
        <w:t>წარმდგენია</w:t>
      </w:r>
      <w:r w:rsidRPr="00B063C9">
        <w:rPr>
          <w:rFonts w:eastAsia="Sylfaen" w:cs="Sylfaen"/>
          <w:spacing w:val="-4"/>
          <w:lang w:val="ka-GE"/>
        </w:rPr>
        <w:t xml:space="preserve"> </w:t>
      </w:r>
      <w:r w:rsidRPr="00B063C9">
        <w:rPr>
          <w:rFonts w:eastAsia="Sylfaen" w:cs="Sylfaen"/>
          <w:lang w:val="ka-GE"/>
        </w:rPr>
        <w:t>საქართველოს</w:t>
      </w:r>
      <w:r w:rsidRPr="00B063C9">
        <w:rPr>
          <w:rFonts w:eastAsia="Sylfaen" w:cs="Sylfaen"/>
          <w:spacing w:val="-5"/>
          <w:lang w:val="ka-GE"/>
        </w:rPr>
        <w:t xml:space="preserve"> </w:t>
      </w:r>
      <w:r w:rsidRPr="00B063C9">
        <w:rPr>
          <w:rFonts w:eastAsia="Sylfaen" w:cs="Sylfaen"/>
          <w:lang w:val="ka-GE"/>
        </w:rPr>
        <w:t xml:space="preserve">ეროვნული ბანკი. </w:t>
      </w:r>
    </w:p>
    <w:bookmarkEnd w:id="0"/>
    <w:p w:rsidR="004C6D75" w:rsidRPr="004C6D75" w:rsidRDefault="004C6D75" w:rsidP="004C6D75">
      <w:pPr>
        <w:jc w:val="both"/>
        <w:rPr>
          <w:lang w:val="ka-GE"/>
        </w:rPr>
      </w:pPr>
    </w:p>
    <w:sectPr w:rsidR="004C6D75" w:rsidRPr="004C6D75" w:rsidSect="00CB1A1F">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C8" w:rsidRDefault="00EF66C8" w:rsidP="00E233C4">
      <w:pPr>
        <w:spacing w:after="0" w:line="240" w:lineRule="auto"/>
      </w:pPr>
      <w:r>
        <w:separator/>
      </w:r>
    </w:p>
  </w:endnote>
  <w:endnote w:type="continuationSeparator" w:id="0">
    <w:p w:rsidR="00EF66C8" w:rsidRDefault="00EF66C8" w:rsidP="00E2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C8" w:rsidRDefault="00EF66C8" w:rsidP="00E233C4">
      <w:pPr>
        <w:spacing w:after="0" w:line="240" w:lineRule="auto"/>
      </w:pPr>
      <w:r>
        <w:separator/>
      </w:r>
    </w:p>
  </w:footnote>
  <w:footnote w:type="continuationSeparator" w:id="0">
    <w:p w:rsidR="00EF66C8" w:rsidRDefault="00EF66C8" w:rsidP="00E23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FD7"/>
    <w:multiLevelType w:val="hybridMultilevel"/>
    <w:tmpl w:val="66CADC94"/>
    <w:lvl w:ilvl="0" w:tplc="6F266D1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42160"/>
    <w:multiLevelType w:val="hybridMultilevel"/>
    <w:tmpl w:val="ABF45CCC"/>
    <w:lvl w:ilvl="0" w:tplc="723CCD4E">
      <w:start w:val="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F1"/>
    <w:rsid w:val="00007308"/>
    <w:rsid w:val="00051801"/>
    <w:rsid w:val="00091F89"/>
    <w:rsid w:val="000D67B2"/>
    <w:rsid w:val="001C493D"/>
    <w:rsid w:val="00220D2A"/>
    <w:rsid w:val="00312975"/>
    <w:rsid w:val="00322C2E"/>
    <w:rsid w:val="004C6D75"/>
    <w:rsid w:val="006134F9"/>
    <w:rsid w:val="00756BED"/>
    <w:rsid w:val="007864F1"/>
    <w:rsid w:val="007A320F"/>
    <w:rsid w:val="007B57C6"/>
    <w:rsid w:val="007E70E0"/>
    <w:rsid w:val="008812B5"/>
    <w:rsid w:val="008B6C0B"/>
    <w:rsid w:val="008E2A73"/>
    <w:rsid w:val="009B737C"/>
    <w:rsid w:val="00A2693A"/>
    <w:rsid w:val="00A3387C"/>
    <w:rsid w:val="00A67542"/>
    <w:rsid w:val="00A806B8"/>
    <w:rsid w:val="00A82B47"/>
    <w:rsid w:val="00AC5F40"/>
    <w:rsid w:val="00B14061"/>
    <w:rsid w:val="00C02D0C"/>
    <w:rsid w:val="00CB1A1F"/>
    <w:rsid w:val="00DA57AC"/>
    <w:rsid w:val="00E233C4"/>
    <w:rsid w:val="00E91B9E"/>
    <w:rsid w:val="00EF66C8"/>
    <w:rsid w:val="00F172BE"/>
    <w:rsid w:val="00F7759C"/>
    <w:rsid w:val="00FC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ACE8"/>
  <w15:chartTrackingRefBased/>
  <w15:docId w15:val="{6C58CF26-CC6B-4199-8F4C-59AFA357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C4"/>
  </w:style>
  <w:style w:type="paragraph" w:styleId="Footer">
    <w:name w:val="footer"/>
    <w:basedOn w:val="Normal"/>
    <w:link w:val="FooterChar"/>
    <w:uiPriority w:val="99"/>
    <w:unhideWhenUsed/>
    <w:rsid w:val="00E23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C4"/>
  </w:style>
  <w:style w:type="paragraph" w:styleId="ListParagraph">
    <w:name w:val="List Paragraph"/>
    <w:basedOn w:val="Normal"/>
    <w:uiPriority w:val="34"/>
    <w:qFormat/>
    <w:rsid w:val="004C6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jktTWF5LTI1IDEyOjM2OjA2IFB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E78692B7-5274-4F23-8AA3-2DFBA80DDDC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6102A6B-F5EF-40C8-8E40-98AE45758AB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dc:creator>
  <cp:keywords/>
  <dc:description/>
  <cp:lastModifiedBy>Sandro Dugladze</cp:lastModifiedBy>
  <cp:revision>23</cp:revision>
  <dcterms:created xsi:type="dcterms:W3CDTF">2025-05-29T12:33:00Z</dcterms:created>
  <dcterms:modified xsi:type="dcterms:W3CDTF">2025-07-11T12:44:00Z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31daf6b9-1790-40ac-b7fa-4929271b4d94</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{E78692B7-5274-4F23-8AA3-2DFBA80DDDCF}</vt:lpwstr>
  </property>
</Properties>
</file>