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750CF" w14:textId="77777777" w:rsidR="0033584A" w:rsidRDefault="0033584A" w:rsidP="0033584A">
      <w:pPr>
        <w:jc w:val="center"/>
        <w:rPr>
          <w:b/>
        </w:rPr>
      </w:pPr>
      <w:bookmarkStart w:id="0" w:name="_GoBack"/>
      <w:bookmarkEnd w:id="0"/>
      <w:r w:rsidRPr="0033584A">
        <w:rPr>
          <w:b/>
          <w:lang w:val="ka-GE"/>
        </w:rPr>
        <w:t>განმარტებითი ბარათი</w:t>
      </w:r>
    </w:p>
    <w:p w14:paraId="4AE3EA78" w14:textId="08ED5823" w:rsidR="008E2A73" w:rsidRDefault="0033584A" w:rsidP="0033584A">
      <w:pPr>
        <w:jc w:val="center"/>
        <w:rPr>
          <w:b/>
          <w:lang w:val="ka-GE"/>
        </w:rPr>
      </w:pPr>
      <w:r w:rsidRPr="0055455A">
        <w:rPr>
          <w:b/>
        </w:rPr>
        <w:t xml:space="preserve">„პირის გათვითცნობიერებულ ინვესტორად აღიარების წესის დამტკიცების შესახებ“ საქართველოს ეროვნული ბანკის პრეზიდენტის 2020 წლის 16 დეკემბრის №223/04 ბრძანებაში ცვლილების შეტანის </w:t>
      </w:r>
      <w:r w:rsidR="00DA6463">
        <w:rPr>
          <w:b/>
          <w:lang w:val="ka-GE"/>
        </w:rPr>
        <w:t xml:space="preserve">თაობაზე“ </w:t>
      </w:r>
      <w:r w:rsidR="00935C5A">
        <w:rPr>
          <w:b/>
          <w:lang w:val="ka-GE"/>
        </w:rPr>
        <w:t>საქართველოს ეროვნული ბანკის პრეზიდენტის ბრძ</w:t>
      </w:r>
      <w:r w:rsidR="00DA6463">
        <w:rPr>
          <w:b/>
          <w:lang w:val="ka-GE"/>
        </w:rPr>
        <w:t>ა</w:t>
      </w:r>
      <w:r w:rsidR="00935C5A">
        <w:rPr>
          <w:b/>
          <w:lang w:val="ka-GE"/>
        </w:rPr>
        <w:t>ნების პროექტზე</w:t>
      </w:r>
    </w:p>
    <w:p w14:paraId="2DF46265" w14:textId="5FD55A71" w:rsidR="002E0F8D" w:rsidRDefault="0050044A" w:rsidP="00ED078C">
      <w:pPr>
        <w:ind w:firstLine="720"/>
        <w:jc w:val="both"/>
        <w:rPr>
          <w:lang w:val="ka-GE"/>
        </w:rPr>
      </w:pPr>
      <w:r w:rsidRPr="004A6956">
        <w:rPr>
          <w:lang w:val="ka-GE"/>
        </w:rPr>
        <w:t xml:space="preserve">კაპიტალის ბაზრის განვითარებისთვის მნიშვნელოვანია </w:t>
      </w:r>
      <w:r w:rsidR="00DA6463">
        <w:rPr>
          <w:lang w:val="ka-GE"/>
        </w:rPr>
        <w:t>მარეგულირებელი</w:t>
      </w:r>
      <w:r w:rsidRPr="004A6956">
        <w:rPr>
          <w:lang w:val="ka-GE"/>
        </w:rPr>
        <w:t xml:space="preserve"> კანონმდებლობის მუდმივი სრულყოფა</w:t>
      </w:r>
      <w:r>
        <w:rPr>
          <w:lang w:val="ka-GE"/>
        </w:rPr>
        <w:t>.</w:t>
      </w:r>
      <w:r w:rsidR="002E0F8D">
        <w:rPr>
          <w:lang w:val="ka-GE"/>
        </w:rPr>
        <w:t xml:space="preserve"> ამავდროულად</w:t>
      </w:r>
      <w:r w:rsidR="00DA6463">
        <w:rPr>
          <w:lang w:val="ka-GE"/>
        </w:rPr>
        <w:t>,</w:t>
      </w:r>
      <w:r w:rsidR="002E0F8D">
        <w:rPr>
          <w:lang w:val="ka-GE"/>
        </w:rPr>
        <w:t xml:space="preserve"> მნიშვნელოვანია, რომ მარეგულირებელი ჩარჩო ერგებოდეს ფასიანი ქაღალდების ბაზრის მონაწილეთა საჭიროებებს და ხელს უწყობდეს მათ </w:t>
      </w:r>
      <w:r w:rsidR="00DA6463">
        <w:rPr>
          <w:lang w:val="ka-GE"/>
        </w:rPr>
        <w:t>ეფექტიან</w:t>
      </w:r>
      <w:r w:rsidR="002E0F8D">
        <w:rPr>
          <w:lang w:val="ka-GE"/>
        </w:rPr>
        <w:t xml:space="preserve"> მუშ</w:t>
      </w:r>
      <w:r w:rsidR="000223CD">
        <w:rPr>
          <w:lang w:val="ka-GE"/>
        </w:rPr>
        <w:t>ა</w:t>
      </w:r>
      <w:r w:rsidR="002E0F8D">
        <w:rPr>
          <w:lang w:val="ka-GE"/>
        </w:rPr>
        <w:t xml:space="preserve">ობას. არსებულმა პრაქტიკამ ცხადყო </w:t>
      </w:r>
      <w:r w:rsidR="00C707C1">
        <w:rPr>
          <w:lang w:val="ka-GE"/>
        </w:rPr>
        <w:t xml:space="preserve">წესში </w:t>
      </w:r>
      <w:r w:rsidR="002E0F8D">
        <w:rPr>
          <w:lang w:val="ka-GE"/>
        </w:rPr>
        <w:t xml:space="preserve">გარკვეული ცვლილებების </w:t>
      </w:r>
      <w:r w:rsidR="00C707C1">
        <w:rPr>
          <w:lang w:val="ka-GE"/>
        </w:rPr>
        <w:t xml:space="preserve">განხორციელების </w:t>
      </w:r>
      <w:r w:rsidR="00D842E7">
        <w:rPr>
          <w:lang w:val="ka-GE"/>
        </w:rPr>
        <w:t>მიზანშეწონილობა</w:t>
      </w:r>
      <w:r w:rsidR="00C707C1">
        <w:rPr>
          <w:lang w:val="ka-GE"/>
        </w:rPr>
        <w:t xml:space="preserve">. </w:t>
      </w:r>
      <w:r w:rsidR="002E0F8D">
        <w:rPr>
          <w:lang w:val="ka-GE"/>
        </w:rPr>
        <w:t xml:space="preserve">კერძოდ, </w:t>
      </w:r>
      <w:r w:rsidR="00DA6463">
        <w:rPr>
          <w:lang w:val="ka-GE"/>
        </w:rPr>
        <w:t xml:space="preserve">საქართველოს ეროვნული ბანკის პრეზიდენტის 2020 წლის 16 დეკემბრის </w:t>
      </w:r>
      <w:r w:rsidR="00DA6463" w:rsidRPr="00DA6463">
        <w:rPr>
          <w:lang w:val="ka-GE"/>
        </w:rPr>
        <w:t>№223/04</w:t>
      </w:r>
      <w:r w:rsidR="00DA6463">
        <w:rPr>
          <w:lang w:val="ka-GE"/>
        </w:rPr>
        <w:t xml:space="preserve"> ბრძანებით (შემდგომში - ბრძანება) დამტკიცებული „</w:t>
      </w:r>
      <w:r w:rsidR="00DA6463" w:rsidRPr="00DA6463">
        <w:rPr>
          <w:lang w:val="ka-GE"/>
        </w:rPr>
        <w:t>პირის გათვითცნობიერებულ ინვესტორად აღიარების წესი</w:t>
      </w:r>
      <w:r w:rsidR="00DA6463">
        <w:rPr>
          <w:lang w:val="ka-GE"/>
        </w:rPr>
        <w:t xml:space="preserve">ს“ (შემდგომში - წესი) </w:t>
      </w:r>
      <w:r w:rsidR="002E0F8D">
        <w:rPr>
          <w:lang w:val="ka-GE"/>
        </w:rPr>
        <w:t xml:space="preserve">შესაბამისად, </w:t>
      </w:r>
      <w:r w:rsidR="007F0DEB">
        <w:rPr>
          <w:lang w:val="ka-GE"/>
        </w:rPr>
        <w:t>ფასიანი ქაღალდების</w:t>
      </w:r>
      <w:r w:rsidR="002E0F8D">
        <w:rPr>
          <w:lang w:val="ka-GE"/>
        </w:rPr>
        <w:t xml:space="preserve"> ბაზრის </w:t>
      </w:r>
      <w:r w:rsidR="007F0DEB">
        <w:rPr>
          <w:lang w:val="ka-GE"/>
        </w:rPr>
        <w:t xml:space="preserve">თითოეული </w:t>
      </w:r>
      <w:r w:rsidR="002E0F8D">
        <w:rPr>
          <w:lang w:val="ka-GE"/>
        </w:rPr>
        <w:t xml:space="preserve">შუამავალი ვალდებულია, </w:t>
      </w:r>
      <w:r w:rsidR="00B816C5">
        <w:rPr>
          <w:lang w:val="ka-GE"/>
        </w:rPr>
        <w:t>დაადგინოს</w:t>
      </w:r>
      <w:r w:rsidR="009E210E">
        <w:t>,</w:t>
      </w:r>
      <w:r w:rsidR="00B816C5">
        <w:rPr>
          <w:lang w:val="ka-GE"/>
        </w:rPr>
        <w:t xml:space="preserve"> </w:t>
      </w:r>
      <w:r w:rsidR="00845D7E">
        <w:rPr>
          <w:lang w:val="ka-GE"/>
        </w:rPr>
        <w:t xml:space="preserve">შეესაბამება </w:t>
      </w:r>
      <w:r w:rsidR="00B816C5">
        <w:rPr>
          <w:lang w:val="ka-GE"/>
        </w:rPr>
        <w:t>თუ არა  კლიენტი</w:t>
      </w:r>
      <w:r w:rsidR="00845D7E">
        <w:rPr>
          <w:lang w:val="ka-GE"/>
        </w:rPr>
        <w:t xml:space="preserve"> </w:t>
      </w:r>
      <w:r w:rsidR="002E0F8D">
        <w:rPr>
          <w:lang w:val="ka-GE"/>
        </w:rPr>
        <w:t xml:space="preserve">წესით </w:t>
      </w:r>
      <w:r w:rsidR="00845D7E">
        <w:rPr>
          <w:lang w:val="ka-GE"/>
        </w:rPr>
        <w:t xml:space="preserve">განსაზღვრულ კრიტერიუმებს. </w:t>
      </w:r>
      <w:r w:rsidR="00DA6463">
        <w:rPr>
          <w:lang w:val="ka-GE"/>
        </w:rPr>
        <w:t xml:space="preserve">პროექტის </w:t>
      </w:r>
      <w:r w:rsidR="00216F79">
        <w:rPr>
          <w:lang w:val="ka-GE"/>
        </w:rPr>
        <w:t>შესაბამისად, კლიენტს ექნება შესაძლებლობა</w:t>
      </w:r>
      <w:r w:rsidR="00DA6463">
        <w:rPr>
          <w:lang w:val="ka-GE"/>
        </w:rPr>
        <w:t>,</w:t>
      </w:r>
      <w:r w:rsidR="00216F79">
        <w:rPr>
          <w:lang w:val="ka-GE"/>
        </w:rPr>
        <w:t xml:space="preserve"> </w:t>
      </w:r>
      <w:r w:rsidR="007F0DEB">
        <w:rPr>
          <w:lang w:val="ka-GE"/>
        </w:rPr>
        <w:t xml:space="preserve">ფასიანი ქაღალდების </w:t>
      </w:r>
      <w:r w:rsidR="00216F79">
        <w:rPr>
          <w:lang w:val="ka-GE"/>
        </w:rPr>
        <w:t xml:space="preserve">ბაზრის შუამავლისგან მიიღოს დასტური დოკუმენტის სახით, რომ ის არის გათვითცნობიერებული ინვესტორი. </w:t>
      </w:r>
      <w:r w:rsidR="007F0DEB">
        <w:rPr>
          <w:lang w:val="ka-GE"/>
        </w:rPr>
        <w:t xml:space="preserve">ფასიანი ქაღალდების </w:t>
      </w:r>
      <w:r w:rsidR="00216F79">
        <w:rPr>
          <w:lang w:val="ka-GE"/>
        </w:rPr>
        <w:t xml:space="preserve">ბაზრის სხვა შუამავალს კი აღნიშნული დოკუმენტით შეეძლება იხელმძღვანელოს </w:t>
      </w:r>
      <w:r w:rsidR="000223CD">
        <w:rPr>
          <w:lang w:val="ka-GE"/>
        </w:rPr>
        <w:t>კლიენტისთვის</w:t>
      </w:r>
      <w:r w:rsidR="00216F79">
        <w:rPr>
          <w:lang w:val="ka-GE"/>
        </w:rPr>
        <w:t xml:space="preserve"> მომსახურების გაწევის დროს. </w:t>
      </w:r>
    </w:p>
    <w:p w14:paraId="136F9A6E" w14:textId="3D847EBC" w:rsidR="00C707C1" w:rsidRPr="00C707C1" w:rsidRDefault="00216F79" w:rsidP="00C707C1">
      <w:pPr>
        <w:jc w:val="both"/>
        <w:rPr>
          <w:lang w:val="ka-GE"/>
        </w:rPr>
      </w:pPr>
      <w:r>
        <w:rPr>
          <w:lang w:val="ka-GE"/>
        </w:rPr>
        <w:t>აღსანიშნავია, რომ წესი</w:t>
      </w:r>
      <w:r w:rsidR="00DA6463">
        <w:rPr>
          <w:lang w:val="ka-GE"/>
        </w:rPr>
        <w:t>ს მოქმედი რედაქცია</w:t>
      </w:r>
      <w:r>
        <w:rPr>
          <w:lang w:val="ka-GE"/>
        </w:rPr>
        <w:t xml:space="preserve"> ითვალისწინებს პირის გათვითცნობიერებულ ინვესტორად აღიარებ</w:t>
      </w:r>
      <w:r w:rsidR="00DA6463">
        <w:rPr>
          <w:lang w:val="ka-GE"/>
        </w:rPr>
        <w:t>ი</w:t>
      </w:r>
      <w:r>
        <w:rPr>
          <w:lang w:val="ka-GE"/>
        </w:rPr>
        <w:t>ს სხვადასხვა შემთხვევებს. კერძოდ, წესის მე-2 მუხლის პირველი და მე-2 პუნქტები განსაზღვრავს იმ შემთხვევებს, როდესაც პირი ავტომატურად მიიჩნევა გათვითცნობიერებულ ინვესტორად</w:t>
      </w:r>
      <w:r w:rsidR="00DA6463">
        <w:rPr>
          <w:lang w:val="ka-GE"/>
        </w:rPr>
        <w:t>,</w:t>
      </w:r>
      <w:r>
        <w:rPr>
          <w:lang w:val="ka-GE"/>
        </w:rPr>
        <w:t xml:space="preserve"> თუკი იგი აკმაყოფილებს აღნიშნული პუნქტებით განსაზღვრულ მოთხოვნებს</w:t>
      </w:r>
      <w:r w:rsidR="00DA6463">
        <w:rPr>
          <w:lang w:val="ka-GE"/>
        </w:rPr>
        <w:t>, ხოლო</w:t>
      </w:r>
      <w:r>
        <w:rPr>
          <w:lang w:val="ka-GE"/>
        </w:rPr>
        <w:t xml:space="preserve"> წესის მე-2 მუხლის მე-3 პუნქტი კი განსაზღვრავს იმ შემთხვევას, როდესაც პირს თავად შეუძლია მოითხოვოს გათვითცნობიერებულ ინვესტორად აღიარება</w:t>
      </w:r>
      <w:r w:rsidR="00DA6463">
        <w:rPr>
          <w:lang w:val="ka-GE"/>
        </w:rPr>
        <w:t>,</w:t>
      </w:r>
      <w:r>
        <w:rPr>
          <w:lang w:val="ka-GE"/>
        </w:rPr>
        <w:t xml:space="preserve"> თუკი იგი აკმაყოფილებს აღნიშნული პუნქტით გათვალისწინებულ მოთხოვნებს. </w:t>
      </w:r>
      <w:r w:rsidR="007F0DEB">
        <w:rPr>
          <w:lang w:val="ka-GE"/>
        </w:rPr>
        <w:t xml:space="preserve">ბრძანების პროექტის </w:t>
      </w:r>
      <w:r>
        <w:rPr>
          <w:lang w:val="ka-GE"/>
        </w:rPr>
        <w:t xml:space="preserve">შესაბამისად, სწორედ აღნიშნული </w:t>
      </w:r>
      <w:r w:rsidR="00C707C1">
        <w:rPr>
          <w:lang w:val="ka-GE"/>
        </w:rPr>
        <w:t xml:space="preserve">პუნქტებიდან გამომდინარე განსხვავებული იქნება გათვითცნობიერებულ ინვესტორად </w:t>
      </w:r>
      <w:r w:rsidR="00DA6463">
        <w:rPr>
          <w:lang w:val="ka-GE"/>
        </w:rPr>
        <w:t>მიჩნევის/</w:t>
      </w:r>
      <w:r w:rsidR="00C707C1">
        <w:rPr>
          <w:lang w:val="ka-GE"/>
        </w:rPr>
        <w:t xml:space="preserve">აღიარების დამადასტურებელი დოკუმენტის </w:t>
      </w:r>
      <w:r w:rsidR="00176699">
        <w:rPr>
          <w:lang w:val="ka-GE"/>
        </w:rPr>
        <w:t xml:space="preserve">გამოყენების </w:t>
      </w:r>
      <w:r w:rsidR="00C707C1">
        <w:rPr>
          <w:lang w:val="ka-GE"/>
        </w:rPr>
        <w:t>ვადა. კერძოდ</w:t>
      </w:r>
      <w:r w:rsidR="00176699">
        <w:rPr>
          <w:lang w:val="ka-GE"/>
        </w:rPr>
        <w:t>,</w:t>
      </w:r>
      <w:r w:rsidR="00C707C1">
        <w:rPr>
          <w:lang w:val="ka-GE"/>
        </w:rPr>
        <w:t xml:space="preserve"> </w:t>
      </w:r>
      <w:r w:rsidR="00C707C1" w:rsidRPr="00C707C1">
        <w:rPr>
          <w:lang w:val="ka-GE"/>
        </w:rPr>
        <w:t>ფასიანი ქაღალდების ბაზრის შუამავალი ფასიანი ქაღალდების ბაზრის სხვა შუამავლის მიერ განხორციელებულ შეფასებას შეიძლება დაეყრდნოს:</w:t>
      </w:r>
    </w:p>
    <w:p w14:paraId="3B842A5B" w14:textId="2EA83ADF" w:rsidR="00C707C1" w:rsidRPr="00C707C1" w:rsidRDefault="00C707C1" w:rsidP="00C707C1">
      <w:pPr>
        <w:jc w:val="both"/>
        <w:rPr>
          <w:lang w:val="ka-GE"/>
        </w:rPr>
      </w:pPr>
      <w:r w:rsidRPr="00C707C1">
        <w:rPr>
          <w:lang w:val="ka-GE"/>
        </w:rPr>
        <w:t xml:space="preserve">ა) თუ პირი ფასიანი ქაღალდების ბაზრის სხვა შუამავლის მიერ გათვითცნობიერებულ ინვესტორად მიჩნეული იქნა </w:t>
      </w:r>
      <w:r w:rsidR="00DA6463">
        <w:rPr>
          <w:lang w:val="ka-GE"/>
        </w:rPr>
        <w:t>წესის მე-2</w:t>
      </w:r>
      <w:r w:rsidR="00DA6463" w:rsidRPr="00C707C1">
        <w:rPr>
          <w:lang w:val="ka-GE"/>
        </w:rPr>
        <w:t xml:space="preserve"> </w:t>
      </w:r>
      <w:r w:rsidRPr="00C707C1">
        <w:rPr>
          <w:lang w:val="ka-GE"/>
        </w:rPr>
        <w:t xml:space="preserve">მუხლის პირველი ან მე-2 პუნქტის საფუძველზე, </w:t>
      </w:r>
      <w:bookmarkStart w:id="1" w:name="OLE_LINK4"/>
      <w:bookmarkStart w:id="2" w:name="OLE_LINK5"/>
      <w:r w:rsidRPr="00C707C1">
        <w:rPr>
          <w:lang w:val="ka-GE"/>
        </w:rPr>
        <w:t xml:space="preserve">მიჩნევიდან 1 წლის განმავლობაში; </w:t>
      </w:r>
      <w:bookmarkEnd w:id="1"/>
      <w:bookmarkEnd w:id="2"/>
    </w:p>
    <w:p w14:paraId="5859A7F8" w14:textId="74187992" w:rsidR="00C707C1" w:rsidRPr="00C707C1" w:rsidRDefault="00C707C1" w:rsidP="00C707C1">
      <w:pPr>
        <w:jc w:val="both"/>
        <w:rPr>
          <w:lang w:val="ka-GE"/>
        </w:rPr>
      </w:pPr>
      <w:r w:rsidRPr="00C707C1">
        <w:rPr>
          <w:lang w:val="ka-GE"/>
        </w:rPr>
        <w:t xml:space="preserve">ბ) თუ პირი ფასიანი ქაღალდების ბაზრის სხვა შუამავლის მიერ გათვითცნობიერებულ ინვესტორად აღიარებულ იქნა </w:t>
      </w:r>
      <w:r w:rsidR="00DA6463">
        <w:rPr>
          <w:lang w:val="ka-GE"/>
        </w:rPr>
        <w:t>წესის მე-2</w:t>
      </w:r>
      <w:r w:rsidR="00DA6463" w:rsidRPr="00C707C1">
        <w:rPr>
          <w:lang w:val="ka-GE"/>
        </w:rPr>
        <w:t xml:space="preserve"> </w:t>
      </w:r>
      <w:r w:rsidRPr="00C707C1">
        <w:rPr>
          <w:lang w:val="ka-GE"/>
        </w:rPr>
        <w:t>მუხლის მე-3 პუნქტის საფუძველზე, აღიარებიდან 6 თვის განმავლობაში.</w:t>
      </w:r>
    </w:p>
    <w:p w14:paraId="028DB6CE" w14:textId="77777777" w:rsidR="00216F79" w:rsidRDefault="00C707C1" w:rsidP="002E0F8D">
      <w:pPr>
        <w:jc w:val="both"/>
        <w:rPr>
          <w:lang w:val="ka-GE"/>
        </w:rPr>
      </w:pPr>
      <w:r>
        <w:rPr>
          <w:lang w:val="ka-GE"/>
        </w:rPr>
        <w:t xml:space="preserve">გარდა აღნიშნულისა მნიშვნელოვანია, რომ </w:t>
      </w:r>
      <w:r w:rsidRPr="00C707C1">
        <w:rPr>
          <w:lang w:val="ka-GE"/>
        </w:rPr>
        <w:t>პასუხისმგებლობა გათვითცნობიერებულ ინვესტორად მიჩნევისთვის/აღიარებისთვის ეკისრება ფასიანი ქაღალდების ბაზრის შუამავალს, რომელიც ეყრდნობა ფასიანი ქაღალდების ბაზრის სხვა შუამავლის მიერ განხორციელებულ შეფასებას.</w:t>
      </w:r>
    </w:p>
    <w:p w14:paraId="11AAAAEC" w14:textId="78597547" w:rsidR="000223CD" w:rsidRDefault="000223CD" w:rsidP="002E0F8D">
      <w:pPr>
        <w:jc w:val="both"/>
        <w:rPr>
          <w:lang w:val="ka-GE"/>
        </w:rPr>
      </w:pPr>
      <w:r>
        <w:rPr>
          <w:lang w:val="ka-GE"/>
        </w:rPr>
        <w:lastRenderedPageBreak/>
        <w:t xml:space="preserve">დამატებით, </w:t>
      </w:r>
      <w:r w:rsidR="007F0DEB">
        <w:rPr>
          <w:lang w:val="ka-GE"/>
        </w:rPr>
        <w:t>წარმოდგენილი ბრძანების</w:t>
      </w:r>
      <w:r>
        <w:rPr>
          <w:lang w:val="ka-GE"/>
        </w:rPr>
        <w:t xml:space="preserve"> </w:t>
      </w:r>
      <w:r w:rsidR="00DA6463">
        <w:rPr>
          <w:lang w:val="ka-GE"/>
        </w:rPr>
        <w:t xml:space="preserve">პროექტის </w:t>
      </w:r>
      <w:r>
        <w:rPr>
          <w:lang w:val="ka-GE"/>
        </w:rPr>
        <w:t>შესაბამისად</w:t>
      </w:r>
      <w:r w:rsidR="00DA6463">
        <w:rPr>
          <w:lang w:val="ka-GE"/>
        </w:rPr>
        <w:t>,</w:t>
      </w:r>
      <w:r>
        <w:rPr>
          <w:lang w:val="ka-GE"/>
        </w:rPr>
        <w:t xml:space="preserve"> </w:t>
      </w:r>
      <w:r w:rsidRPr="000223CD">
        <w:rPr>
          <w:lang w:val="ka-GE"/>
        </w:rPr>
        <w:t xml:space="preserve">ფასიანი ქაღალდების ბაზრის შუამავლებმა უნდა უზრუნველყონ </w:t>
      </w:r>
      <w:r>
        <w:rPr>
          <w:lang w:val="ka-GE"/>
        </w:rPr>
        <w:t xml:space="preserve">წესით </w:t>
      </w:r>
      <w:r w:rsidRPr="000223CD">
        <w:rPr>
          <w:lang w:val="ka-GE"/>
        </w:rPr>
        <w:t>განსაზღვრული პირების გათვითცნობიერებულ ინვესტორებად მიჩნევისთვის საჭირო/აღიარებასთან დაკავშირებული პოლიტიკისა და პროცედურების შემუშავება</w:t>
      </w:r>
      <w:r>
        <w:rPr>
          <w:lang w:val="ka-GE"/>
        </w:rPr>
        <w:t>.</w:t>
      </w:r>
    </w:p>
    <w:p w14:paraId="5B6BC80C" w14:textId="77777777" w:rsidR="00C707C1" w:rsidRPr="00782E74" w:rsidRDefault="00C707C1" w:rsidP="00115936">
      <w:pPr>
        <w:spacing w:line="276" w:lineRule="auto"/>
        <w:ind w:right="157"/>
        <w:jc w:val="both"/>
        <w:rPr>
          <w:rFonts w:eastAsia="Calibri" w:cs="Calibri"/>
          <w:lang w:val="ka-GE"/>
        </w:rPr>
      </w:pPr>
      <w:r w:rsidRPr="00782E74">
        <w:rPr>
          <w:rFonts w:eastAsia="Sylfaen" w:cs="Sylfaen"/>
          <w:lang w:val="ka-GE"/>
        </w:rPr>
        <w:t>ბრძანების პროექტის მიღება არ იქონიებს გავლენას სახელმწიფო ბიუჯეტის ხარჯვით</w:t>
      </w:r>
      <w:r w:rsidRPr="00782E74">
        <w:rPr>
          <w:rFonts w:eastAsia="Sylfaen" w:cs="Sylfaen"/>
          <w:spacing w:val="-5"/>
          <w:lang w:val="ka-GE"/>
        </w:rPr>
        <w:t xml:space="preserve"> </w:t>
      </w:r>
      <w:r w:rsidRPr="00782E74">
        <w:rPr>
          <w:rFonts w:eastAsia="Sylfaen" w:cs="Sylfaen"/>
          <w:lang w:val="ka-GE"/>
        </w:rPr>
        <w:t>ნაწილზე</w:t>
      </w:r>
      <w:r w:rsidRPr="00782E74">
        <w:rPr>
          <w:rFonts w:eastAsia="Calibri" w:cs="Calibri"/>
          <w:lang w:val="ka-GE"/>
        </w:rPr>
        <w:t>.</w:t>
      </w:r>
    </w:p>
    <w:p w14:paraId="50E65A90" w14:textId="77777777" w:rsidR="00C707C1" w:rsidRDefault="00C707C1" w:rsidP="00115936">
      <w:pPr>
        <w:spacing w:line="276" w:lineRule="auto"/>
        <w:ind w:right="157"/>
        <w:jc w:val="both"/>
        <w:rPr>
          <w:rFonts w:eastAsia="Calibri" w:cs="Calibri"/>
          <w:lang w:val="ka-GE"/>
        </w:rPr>
      </w:pPr>
      <w:r w:rsidRPr="00D34F23">
        <w:rPr>
          <w:rFonts w:eastAsia="Calibri" w:cs="Calibri"/>
          <w:lang w:val="ka-GE"/>
        </w:rPr>
        <w:t>ბრძანების გამოცემით გენდერული თანასწორობის მდგომარეობაზე ზეგავლენის მოხდენა მოსალოდნელი არ არის.</w:t>
      </w:r>
    </w:p>
    <w:p w14:paraId="302D16DD" w14:textId="77777777" w:rsidR="00C707C1" w:rsidRPr="00922BF0" w:rsidRDefault="00C707C1" w:rsidP="00115936">
      <w:pPr>
        <w:rPr>
          <w:rFonts w:eastAsia="Calibri" w:cs="Calibri"/>
          <w:lang w:val="ka-GE"/>
        </w:rPr>
      </w:pPr>
      <w:r>
        <w:rPr>
          <w:rFonts w:eastAsia="Sylfaen" w:cs="Sylfaen"/>
          <w:lang w:val="ka-GE"/>
        </w:rPr>
        <w:t xml:space="preserve">ბრძანების </w:t>
      </w:r>
      <w:r w:rsidRPr="00782E74">
        <w:rPr>
          <w:rFonts w:eastAsia="Sylfaen" w:cs="Sylfaen"/>
          <w:lang w:val="ka-GE"/>
        </w:rPr>
        <w:t>პროექტის</w:t>
      </w:r>
      <w:r w:rsidRPr="00782E74">
        <w:rPr>
          <w:rFonts w:eastAsia="Sylfaen" w:cs="Sylfaen"/>
          <w:spacing w:val="-5"/>
          <w:lang w:val="ka-GE"/>
        </w:rPr>
        <w:t xml:space="preserve"> </w:t>
      </w:r>
      <w:r w:rsidRPr="00782E74">
        <w:rPr>
          <w:rFonts w:eastAsia="Sylfaen" w:cs="Sylfaen"/>
          <w:lang w:val="ka-GE"/>
        </w:rPr>
        <w:t>ავტორი</w:t>
      </w:r>
      <w:r w:rsidRPr="00782E74">
        <w:rPr>
          <w:rFonts w:eastAsia="Sylfaen" w:cs="Sylfaen"/>
          <w:spacing w:val="-5"/>
          <w:lang w:val="ka-GE"/>
        </w:rPr>
        <w:t xml:space="preserve"> </w:t>
      </w:r>
      <w:r w:rsidRPr="00782E74">
        <w:rPr>
          <w:rFonts w:eastAsia="Sylfaen" w:cs="Sylfaen"/>
          <w:lang w:val="ka-GE"/>
        </w:rPr>
        <w:t>და</w:t>
      </w:r>
      <w:r w:rsidRPr="00782E74">
        <w:rPr>
          <w:rFonts w:eastAsia="Sylfaen" w:cs="Sylfaen"/>
          <w:spacing w:val="-5"/>
          <w:lang w:val="ka-GE"/>
        </w:rPr>
        <w:t xml:space="preserve"> </w:t>
      </w:r>
      <w:r w:rsidRPr="00782E74">
        <w:rPr>
          <w:rFonts w:eastAsia="Sylfaen" w:cs="Sylfaen"/>
          <w:lang w:val="ka-GE"/>
        </w:rPr>
        <w:t>წარმდგენია</w:t>
      </w:r>
      <w:r w:rsidRPr="00782E74">
        <w:rPr>
          <w:rFonts w:eastAsia="Sylfaen" w:cs="Sylfaen"/>
          <w:spacing w:val="-4"/>
          <w:lang w:val="ka-GE"/>
        </w:rPr>
        <w:t xml:space="preserve"> </w:t>
      </w:r>
      <w:r w:rsidRPr="00782E74">
        <w:rPr>
          <w:rFonts w:eastAsia="Sylfaen" w:cs="Sylfaen"/>
          <w:lang w:val="ka-GE"/>
        </w:rPr>
        <w:t>საქართველოს</w:t>
      </w:r>
      <w:r w:rsidRPr="00782E74">
        <w:rPr>
          <w:rFonts w:eastAsia="Sylfaen" w:cs="Sylfaen"/>
          <w:spacing w:val="-5"/>
          <w:lang w:val="ka-GE"/>
        </w:rPr>
        <w:t xml:space="preserve"> </w:t>
      </w:r>
      <w:r>
        <w:rPr>
          <w:rFonts w:eastAsia="Sylfaen" w:cs="Sylfaen"/>
          <w:lang w:val="ka-GE"/>
        </w:rPr>
        <w:t xml:space="preserve">ეროვნული ბანკი. </w:t>
      </w:r>
    </w:p>
    <w:p w14:paraId="4CD2D9E0" w14:textId="77777777" w:rsidR="00C707C1" w:rsidRPr="00C707C1" w:rsidRDefault="00C707C1" w:rsidP="002E0F8D">
      <w:pPr>
        <w:jc w:val="both"/>
        <w:rPr>
          <w:lang w:val="ka-GE"/>
        </w:rPr>
      </w:pPr>
    </w:p>
    <w:p w14:paraId="4FFD4C0D" w14:textId="77777777" w:rsidR="00935C5A" w:rsidRPr="00935C5A" w:rsidRDefault="00935C5A" w:rsidP="00935C5A">
      <w:pPr>
        <w:rPr>
          <w:lang w:val="ka-GE"/>
        </w:rPr>
      </w:pPr>
    </w:p>
    <w:sectPr w:rsidR="00935C5A" w:rsidRPr="00935C5A" w:rsidSect="00CB1A1F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F3F86" w14:textId="77777777" w:rsidR="00642BE1" w:rsidRDefault="00642BE1" w:rsidP="0033584A">
      <w:pPr>
        <w:spacing w:after="0" w:line="240" w:lineRule="auto"/>
      </w:pPr>
      <w:r>
        <w:separator/>
      </w:r>
    </w:p>
  </w:endnote>
  <w:endnote w:type="continuationSeparator" w:id="0">
    <w:p w14:paraId="46A86EBE" w14:textId="77777777" w:rsidR="00642BE1" w:rsidRDefault="00642BE1" w:rsidP="0033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D5D56" w14:textId="77777777" w:rsidR="00642BE1" w:rsidRDefault="00642BE1" w:rsidP="0033584A">
      <w:pPr>
        <w:spacing w:after="0" w:line="240" w:lineRule="auto"/>
      </w:pPr>
      <w:r>
        <w:separator/>
      </w:r>
    </w:p>
  </w:footnote>
  <w:footnote w:type="continuationSeparator" w:id="0">
    <w:p w14:paraId="4AC2E581" w14:textId="77777777" w:rsidR="00642BE1" w:rsidRDefault="00642BE1" w:rsidP="00335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C9"/>
    <w:rsid w:val="000223CD"/>
    <w:rsid w:val="000D6C00"/>
    <w:rsid w:val="00115936"/>
    <w:rsid w:val="00176699"/>
    <w:rsid w:val="00216F79"/>
    <w:rsid w:val="00271030"/>
    <w:rsid w:val="002E0F8D"/>
    <w:rsid w:val="0033584A"/>
    <w:rsid w:val="00422CB2"/>
    <w:rsid w:val="0050044A"/>
    <w:rsid w:val="00642BE1"/>
    <w:rsid w:val="007F0DEB"/>
    <w:rsid w:val="00845D7E"/>
    <w:rsid w:val="008E2A73"/>
    <w:rsid w:val="00935C5A"/>
    <w:rsid w:val="00954DC9"/>
    <w:rsid w:val="009E210E"/>
    <w:rsid w:val="00B816C5"/>
    <w:rsid w:val="00C707C1"/>
    <w:rsid w:val="00C92128"/>
    <w:rsid w:val="00CB1A1F"/>
    <w:rsid w:val="00D128B9"/>
    <w:rsid w:val="00D74789"/>
    <w:rsid w:val="00D842E7"/>
    <w:rsid w:val="00DA6463"/>
    <w:rsid w:val="00ED078C"/>
    <w:rsid w:val="00F27053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21DE"/>
  <w15:chartTrackingRefBased/>
  <w15:docId w15:val="{A0E5065C-6948-481F-87C7-DCC1CC0A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84A"/>
  </w:style>
  <w:style w:type="paragraph" w:styleId="Footer">
    <w:name w:val="footer"/>
    <w:basedOn w:val="Normal"/>
    <w:link w:val="FooterChar"/>
    <w:uiPriority w:val="99"/>
    <w:unhideWhenUsed/>
    <w:rsid w:val="0033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84A"/>
  </w:style>
  <w:style w:type="character" w:styleId="CommentReference">
    <w:name w:val="annotation reference"/>
    <w:basedOn w:val="DefaultParagraphFont"/>
    <w:uiPriority w:val="99"/>
    <w:semiHidden/>
    <w:unhideWhenUsed/>
    <w:rsid w:val="00DA6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4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ZXRldnphZHplPC9Vc2VyTmFtZT48RGF0ZVRpbWU+MTctSnVsLTI0IDY6NTk6Mjk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072E2C1E-2E8F-40D3-9C9C-21AED8AF547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883EB12B-A4AA-46E7-888F-291E4A847A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 Tevzadze</dc:creator>
  <cp:keywords/>
  <dc:description/>
  <cp:lastModifiedBy>Elene Tevzadze</cp:lastModifiedBy>
  <cp:revision>4</cp:revision>
  <dcterms:created xsi:type="dcterms:W3CDTF">2024-07-17T12:59:00Z</dcterms:created>
  <dcterms:modified xsi:type="dcterms:W3CDTF">2024-07-17T13:36:00Z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8fb2cf70-2cd8-4fbd-89d9-fa2f785bc1bb</vt:lpwstr>
  </property>
  <property fmtid="{D5CDD505-2E9C-101B-9397-08002B2CF9AE}" pid="3" name="bjSaver">
    <vt:lpwstr>leq36eZnz0ID3aeJ04aa7KL8xt15wB1+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{072E2C1E-2E8F-40D3-9C9C-21AED8AF547A}</vt:lpwstr>
  </property>
</Properties>
</file>