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9D3CD" w14:textId="77777777" w:rsidR="00BB0449" w:rsidRPr="00A1006B" w:rsidRDefault="00BB0449" w:rsidP="00BB0449">
      <w:pPr>
        <w:jc w:val="right"/>
        <w:rPr>
          <w:rFonts w:ascii="Sylfaen" w:eastAsia="Times New Roman" w:hAnsi="Sylfaen"/>
          <w:b/>
          <w:i/>
          <w:sz w:val="22"/>
          <w:szCs w:val="22"/>
          <w:u w:val="single"/>
          <w:lang w:val="ka-GE"/>
        </w:rPr>
      </w:pPr>
      <w:r w:rsidRPr="00A1006B">
        <w:rPr>
          <w:rFonts w:ascii="Sylfaen" w:eastAsia="Times New Roman" w:hAnsi="Sylfaen"/>
          <w:b/>
          <w:i/>
          <w:sz w:val="22"/>
          <w:szCs w:val="22"/>
          <w:u w:val="single"/>
          <w:lang w:val="ka-GE"/>
        </w:rPr>
        <w:t>პროექტი</w:t>
      </w:r>
    </w:p>
    <w:p w14:paraId="629F9FB9" w14:textId="77777777" w:rsidR="00BB0449" w:rsidRPr="00A1006B" w:rsidRDefault="00BB0449" w:rsidP="005F252E">
      <w:pPr>
        <w:jc w:val="center"/>
        <w:rPr>
          <w:rFonts w:ascii="Sylfaen" w:eastAsia="Times New Roman" w:hAnsi="Sylfaen"/>
          <w:b/>
          <w:sz w:val="22"/>
          <w:szCs w:val="22"/>
          <w:lang w:val="ka-GE"/>
        </w:rPr>
      </w:pPr>
    </w:p>
    <w:p w14:paraId="6A7DF5FF" w14:textId="28FF3BA3" w:rsidR="005F252E" w:rsidRPr="00A1006B" w:rsidRDefault="005F252E" w:rsidP="005F252E">
      <w:pPr>
        <w:jc w:val="center"/>
        <w:rPr>
          <w:rFonts w:ascii="Sylfaen" w:eastAsia="Times New Roman" w:hAnsi="Sylfaen"/>
          <w:b/>
          <w:sz w:val="22"/>
          <w:szCs w:val="22"/>
          <w:lang w:val="ka-GE"/>
        </w:rPr>
      </w:pPr>
      <w:r w:rsidRPr="00A1006B">
        <w:rPr>
          <w:rFonts w:ascii="Sylfaen" w:eastAsia="Times New Roman" w:hAnsi="Sylfaen"/>
          <w:b/>
          <w:sz w:val="22"/>
          <w:szCs w:val="22"/>
          <w:lang w:val="ka-GE"/>
        </w:rPr>
        <w:t>საქართველოს ეროვნული ბანკის პრეზიდენტის</w:t>
      </w:r>
    </w:p>
    <w:p w14:paraId="7D532807" w14:textId="77777777" w:rsidR="005F252E" w:rsidRPr="00A1006B" w:rsidRDefault="005F252E" w:rsidP="005F252E">
      <w:pPr>
        <w:jc w:val="center"/>
        <w:rPr>
          <w:rFonts w:ascii="Sylfaen" w:eastAsia="Times New Roman" w:hAnsi="Sylfaen"/>
          <w:b/>
          <w:sz w:val="22"/>
          <w:szCs w:val="22"/>
          <w:lang w:val="ka-GE"/>
        </w:rPr>
      </w:pPr>
    </w:p>
    <w:p w14:paraId="7A338010" w14:textId="25FBCEB1" w:rsidR="005F252E" w:rsidRPr="00A1006B" w:rsidRDefault="005F252E" w:rsidP="005F252E">
      <w:pPr>
        <w:jc w:val="center"/>
        <w:rPr>
          <w:rFonts w:ascii="Sylfaen" w:eastAsia="Times New Roman" w:hAnsi="Sylfaen"/>
          <w:b/>
          <w:sz w:val="22"/>
          <w:szCs w:val="22"/>
          <w:lang w:val="ka-GE"/>
        </w:rPr>
      </w:pPr>
      <w:r w:rsidRPr="00A1006B">
        <w:rPr>
          <w:rFonts w:ascii="Sylfaen" w:eastAsia="Times New Roman" w:hAnsi="Sylfaen"/>
          <w:b/>
          <w:sz w:val="22"/>
          <w:szCs w:val="22"/>
          <w:lang w:val="ka-GE"/>
        </w:rPr>
        <w:t>ბრძანება №</w:t>
      </w:r>
    </w:p>
    <w:p w14:paraId="50D41FE2" w14:textId="20BF6F4D" w:rsidR="005F252E" w:rsidRPr="00A1006B" w:rsidRDefault="005F252E" w:rsidP="005F252E">
      <w:pPr>
        <w:rPr>
          <w:rFonts w:ascii="Sylfaen" w:eastAsia="Times New Roman" w:hAnsi="Sylfaen"/>
          <w:sz w:val="22"/>
          <w:szCs w:val="22"/>
          <w:lang w:val="ka-GE"/>
        </w:rPr>
      </w:pPr>
    </w:p>
    <w:p w14:paraId="74D7F34C" w14:textId="77777777" w:rsidR="005F252E" w:rsidRPr="00A1006B" w:rsidRDefault="005F252E" w:rsidP="005F252E">
      <w:pPr>
        <w:rPr>
          <w:rFonts w:ascii="Sylfaen" w:eastAsia="Times New Roman" w:hAnsi="Sylfaen"/>
          <w:sz w:val="22"/>
          <w:szCs w:val="22"/>
          <w:lang w:val="ka-GE"/>
        </w:rPr>
      </w:pPr>
      <w:r w:rsidRPr="00A1006B">
        <w:rPr>
          <w:rFonts w:ascii="Sylfaen" w:eastAsia="Times New Roman" w:hAnsi="Sylfaen"/>
          <w:sz w:val="22"/>
          <w:szCs w:val="22"/>
          <w:lang w:val="ka-GE"/>
        </w:rPr>
        <w:t xml:space="preserve"> </w:t>
      </w:r>
    </w:p>
    <w:p w14:paraId="1B9D8E6B" w14:textId="77777777" w:rsidR="005F252E" w:rsidRPr="00A1006B" w:rsidRDefault="005F252E" w:rsidP="005F252E">
      <w:pPr>
        <w:rPr>
          <w:rFonts w:ascii="Sylfaen" w:eastAsia="Times New Roman" w:hAnsi="Sylfaen"/>
          <w:sz w:val="22"/>
          <w:szCs w:val="22"/>
          <w:lang w:val="ka-GE"/>
        </w:rPr>
      </w:pPr>
    </w:p>
    <w:p w14:paraId="066D5041" w14:textId="17E5E2CB" w:rsidR="005F252E" w:rsidRPr="00C86609" w:rsidRDefault="005F252E" w:rsidP="00BB0449">
      <w:pPr>
        <w:jc w:val="center"/>
        <w:rPr>
          <w:rFonts w:ascii="Sylfaen" w:eastAsia="Times New Roman" w:hAnsi="Sylfaen"/>
          <w:b/>
          <w:sz w:val="22"/>
          <w:szCs w:val="22"/>
        </w:rPr>
      </w:pPr>
      <w:r w:rsidRPr="00A1006B">
        <w:rPr>
          <w:rFonts w:ascii="Sylfaen" w:eastAsia="Times New Roman" w:hAnsi="Sylfaen"/>
          <w:b/>
          <w:sz w:val="22"/>
          <w:szCs w:val="22"/>
          <w:lang w:val="ka-GE"/>
        </w:rPr>
        <w:t>„პილარ 2-ის ფარგლებში კომერციული ბანკებისათვის კაპიტალი</w:t>
      </w:r>
      <w:r w:rsidR="00A56D2B" w:rsidRPr="00A1006B">
        <w:rPr>
          <w:rFonts w:ascii="Sylfaen" w:eastAsia="Times New Roman" w:hAnsi="Sylfaen"/>
          <w:b/>
          <w:sz w:val="22"/>
          <w:szCs w:val="22"/>
          <w:lang w:val="ka-GE"/>
        </w:rPr>
        <w:t>ს ბუფერების განსაზღვრის წესი“</w:t>
      </w:r>
      <w:r w:rsidRPr="00A1006B">
        <w:rPr>
          <w:rFonts w:ascii="Sylfaen" w:eastAsia="Times New Roman" w:hAnsi="Sylfaen"/>
          <w:b/>
          <w:sz w:val="22"/>
          <w:szCs w:val="22"/>
          <w:lang w:val="ka-GE"/>
        </w:rPr>
        <w:t xml:space="preserve"> საქართველოს ეროვნული ბანკის პრეზიდენტის 2017 წლის 18 დეკემბრის №176/04 ბრძანებაში ცვლილების შეტანის თაობაზე</w:t>
      </w:r>
    </w:p>
    <w:p w14:paraId="2AAC75A0" w14:textId="77777777" w:rsidR="005F252E" w:rsidRPr="00A1006B" w:rsidRDefault="005F252E" w:rsidP="005F252E">
      <w:pPr>
        <w:rPr>
          <w:rFonts w:ascii="Sylfaen" w:eastAsia="Times New Roman" w:hAnsi="Sylfaen"/>
          <w:sz w:val="22"/>
          <w:szCs w:val="22"/>
          <w:lang w:val="ka-GE"/>
        </w:rPr>
      </w:pPr>
    </w:p>
    <w:p w14:paraId="7B268A68" w14:textId="77777777" w:rsidR="00BB0449" w:rsidRPr="00A1006B" w:rsidRDefault="00BB0449" w:rsidP="005F252E">
      <w:pPr>
        <w:rPr>
          <w:rFonts w:ascii="Sylfaen" w:eastAsia="Times New Roman" w:hAnsi="Sylfaen"/>
          <w:sz w:val="22"/>
          <w:szCs w:val="22"/>
          <w:lang w:val="ka-GE"/>
        </w:rPr>
      </w:pPr>
    </w:p>
    <w:p w14:paraId="352954D1" w14:textId="47F9B2F4" w:rsidR="005F252E" w:rsidRPr="00A1006B" w:rsidRDefault="005F252E" w:rsidP="00BB0449">
      <w:pPr>
        <w:jc w:val="both"/>
        <w:rPr>
          <w:rFonts w:ascii="Sylfaen" w:eastAsia="Times New Roman" w:hAnsi="Sylfaen"/>
          <w:sz w:val="22"/>
          <w:szCs w:val="22"/>
          <w:lang w:val="ka-GE"/>
        </w:rPr>
      </w:pPr>
      <w:r w:rsidRPr="00A1006B">
        <w:rPr>
          <w:rFonts w:ascii="Sylfaen" w:eastAsia="Times New Roman" w:hAnsi="Sylfaen"/>
          <w:sz w:val="22"/>
          <w:szCs w:val="22"/>
          <w:lang w:val="ka-GE"/>
        </w:rPr>
        <w:t>„საქართველოს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w:t>
      </w:r>
      <w:r w:rsidR="00BB0449" w:rsidRPr="00A1006B">
        <w:rPr>
          <w:rFonts w:ascii="Sylfaen" w:eastAsia="Times New Roman" w:hAnsi="Sylfaen"/>
          <w:sz w:val="22"/>
          <w:szCs w:val="22"/>
          <w:lang w:val="ka-GE"/>
        </w:rPr>
        <w:t>ა და</w:t>
      </w:r>
      <w:r w:rsidRPr="00A1006B">
        <w:rPr>
          <w:rFonts w:ascii="Sylfaen" w:eastAsia="Times New Roman" w:hAnsi="Sylfaen"/>
          <w:sz w:val="22"/>
          <w:szCs w:val="22"/>
          <w:lang w:val="ka-GE"/>
        </w:rPr>
        <w:t xml:space="preserve"> </w:t>
      </w:r>
      <w:r w:rsidR="00BB0449" w:rsidRPr="00A1006B">
        <w:rPr>
          <w:rFonts w:ascii="Sylfaen" w:eastAsia="Times New Roman" w:hAnsi="Sylfaen"/>
          <w:sz w:val="22"/>
          <w:szCs w:val="22"/>
          <w:lang w:val="ka-GE"/>
        </w:rPr>
        <w:t xml:space="preserve">„ნორმატიული აქტების შესახებ“ საქართველოს ორგანული კანონის მე-20 მუხლის მე-4 პუნქტის </w:t>
      </w:r>
      <w:r w:rsidRPr="00A1006B">
        <w:rPr>
          <w:rFonts w:ascii="Sylfaen" w:eastAsia="Times New Roman" w:hAnsi="Sylfaen"/>
          <w:sz w:val="22"/>
          <w:szCs w:val="22"/>
          <w:lang w:val="ka-GE"/>
        </w:rPr>
        <w:t xml:space="preserve">საფუძველზე, </w:t>
      </w:r>
      <w:r w:rsidRPr="00A1006B">
        <w:rPr>
          <w:rFonts w:ascii="Sylfaen" w:eastAsia="Times New Roman" w:hAnsi="Sylfaen"/>
          <w:b/>
          <w:sz w:val="22"/>
          <w:szCs w:val="22"/>
          <w:lang w:val="ka-GE"/>
        </w:rPr>
        <w:t>ვბრძანებ:</w:t>
      </w:r>
    </w:p>
    <w:p w14:paraId="0DA799AA" w14:textId="77777777" w:rsidR="005F252E" w:rsidRPr="00A1006B" w:rsidRDefault="005F252E" w:rsidP="005F252E">
      <w:pPr>
        <w:rPr>
          <w:rFonts w:ascii="Sylfaen" w:eastAsia="Times New Roman" w:hAnsi="Sylfaen"/>
          <w:sz w:val="22"/>
          <w:szCs w:val="22"/>
          <w:lang w:val="ka-GE"/>
        </w:rPr>
      </w:pPr>
    </w:p>
    <w:p w14:paraId="3F593C05" w14:textId="37009BF5" w:rsidR="005F252E" w:rsidRPr="00A1006B" w:rsidRDefault="00BB0449" w:rsidP="00BB0449">
      <w:pPr>
        <w:jc w:val="both"/>
        <w:rPr>
          <w:rFonts w:ascii="Sylfaen" w:eastAsia="Times New Roman" w:hAnsi="Sylfaen"/>
          <w:b/>
          <w:sz w:val="22"/>
          <w:szCs w:val="22"/>
          <w:lang w:val="ka-GE"/>
        </w:rPr>
      </w:pPr>
      <w:r w:rsidRPr="00A1006B">
        <w:rPr>
          <w:rFonts w:ascii="Sylfaen" w:eastAsia="Times New Roman" w:hAnsi="Sylfaen"/>
          <w:b/>
          <w:sz w:val="22"/>
          <w:szCs w:val="22"/>
          <w:lang w:val="ka-GE"/>
        </w:rPr>
        <w:t xml:space="preserve">მუხლი 1. </w:t>
      </w:r>
      <w:r w:rsidR="005F252E" w:rsidRPr="00A1006B">
        <w:rPr>
          <w:rFonts w:ascii="Sylfaen" w:eastAsia="Times New Roman" w:hAnsi="Sylfaen"/>
          <w:sz w:val="22"/>
          <w:szCs w:val="22"/>
          <w:lang w:val="ka-GE"/>
        </w:rPr>
        <w:t>„პილარ 2-ის ფარგლებში კომერციული ბანკებისათვის კაპიტალ</w:t>
      </w:r>
      <w:r w:rsidR="00A56D2B" w:rsidRPr="00A1006B">
        <w:rPr>
          <w:rFonts w:ascii="Sylfaen" w:eastAsia="Times New Roman" w:hAnsi="Sylfaen"/>
          <w:sz w:val="22"/>
          <w:szCs w:val="22"/>
          <w:lang w:val="ka-GE"/>
        </w:rPr>
        <w:t xml:space="preserve">ის ბუფერების განსაზღვრის წესი“ </w:t>
      </w:r>
      <w:r w:rsidR="005F252E" w:rsidRPr="00A1006B">
        <w:rPr>
          <w:rFonts w:ascii="Sylfaen" w:eastAsia="Times New Roman" w:hAnsi="Sylfaen"/>
          <w:sz w:val="22"/>
          <w:szCs w:val="22"/>
          <w:lang w:val="ka-GE"/>
        </w:rPr>
        <w:t>საქართველოს ეროვნული ბანკის პრეზიდენტის 2017 წლი</w:t>
      </w:r>
      <w:r w:rsidRPr="00A1006B">
        <w:rPr>
          <w:rFonts w:ascii="Sylfaen" w:eastAsia="Times New Roman" w:hAnsi="Sylfaen"/>
          <w:sz w:val="22"/>
          <w:szCs w:val="22"/>
          <w:lang w:val="ka-GE"/>
        </w:rPr>
        <w:t>ს 18 დეკემბრის №176/04 ბრძანებ</w:t>
      </w:r>
      <w:r w:rsidR="005F252E" w:rsidRPr="00A1006B">
        <w:rPr>
          <w:rFonts w:ascii="Sylfaen" w:eastAsia="Times New Roman" w:hAnsi="Sylfaen"/>
          <w:sz w:val="22"/>
          <w:szCs w:val="22"/>
          <w:lang w:val="ka-GE"/>
        </w:rPr>
        <w:t>ი</w:t>
      </w:r>
      <w:r w:rsidRPr="00A1006B">
        <w:rPr>
          <w:rFonts w:ascii="Sylfaen" w:eastAsia="Times New Roman" w:hAnsi="Sylfaen"/>
          <w:sz w:val="22"/>
          <w:szCs w:val="22"/>
          <w:lang w:val="ka-GE"/>
        </w:rPr>
        <w:t>თ</w:t>
      </w:r>
      <w:r w:rsidR="00A56D2B" w:rsidRPr="00A1006B">
        <w:rPr>
          <w:rFonts w:ascii="Sylfaen" w:eastAsia="Times New Roman" w:hAnsi="Sylfaen"/>
          <w:sz w:val="22"/>
          <w:szCs w:val="22"/>
          <w:lang w:val="ka-GE"/>
        </w:rPr>
        <w:t xml:space="preserve"> (</w:t>
      </w:r>
      <w:r w:rsidR="005F252E" w:rsidRPr="00A1006B">
        <w:rPr>
          <w:rFonts w:ascii="Sylfaen" w:eastAsia="Times New Roman" w:hAnsi="Sylfaen"/>
          <w:sz w:val="22"/>
          <w:szCs w:val="22"/>
          <w:lang w:val="ka-GE"/>
        </w:rPr>
        <w:t>www.matsne.gov.ge; 21/12/2017; ს/კ: 220010010.18.011.016265) დამტკიცებული წესის:</w:t>
      </w:r>
    </w:p>
    <w:p w14:paraId="509B57D7" w14:textId="7CF4AAE5" w:rsidR="005F252E" w:rsidRPr="00A1006B" w:rsidRDefault="005F252E" w:rsidP="005F252E">
      <w:pPr>
        <w:contextualSpacing/>
        <w:rPr>
          <w:rFonts w:ascii="Sylfaen" w:eastAsia="Times New Roman" w:hAnsi="Sylfaen"/>
          <w:b/>
          <w:sz w:val="22"/>
          <w:szCs w:val="22"/>
          <w:lang w:val="ka-GE"/>
        </w:rPr>
      </w:pPr>
    </w:p>
    <w:tbl>
      <w:tblPr>
        <w:tblpPr w:leftFromText="180" w:rightFromText="180" w:vertAnchor="text" w:horzAnchor="margin" w:tblpY="168"/>
        <w:tblW w:w="5000" w:type="pct"/>
        <w:tblCellSpacing w:w="15" w:type="dxa"/>
        <w:tblLook w:val="04A0" w:firstRow="1" w:lastRow="0" w:firstColumn="1" w:lastColumn="0" w:noHBand="0" w:noVBand="1"/>
      </w:tblPr>
      <w:tblGrid>
        <w:gridCol w:w="9360"/>
      </w:tblGrid>
      <w:tr w:rsidR="00E3580D" w:rsidRPr="00A1006B" w14:paraId="55474C85" w14:textId="77777777" w:rsidTr="00E3580D">
        <w:trPr>
          <w:divId w:val="1802768214"/>
          <w:tblCellSpacing w:w="15" w:type="dxa"/>
        </w:trPr>
        <w:tc>
          <w:tcPr>
            <w:tcW w:w="0" w:type="auto"/>
            <w:tcMar>
              <w:top w:w="15" w:type="dxa"/>
              <w:left w:w="15" w:type="dxa"/>
              <w:bottom w:w="15" w:type="dxa"/>
              <w:right w:w="15" w:type="dxa"/>
            </w:tcMar>
            <w:vAlign w:val="center"/>
            <w:hideMark/>
          </w:tcPr>
          <w:p w14:paraId="57DEB7E7" w14:textId="241664F5" w:rsidR="00B16AC3" w:rsidRPr="00A1006B" w:rsidRDefault="00596A5E" w:rsidP="00E3580D">
            <w:pPr>
              <w:pStyle w:val="NormalWeb"/>
              <w:contextualSpacing/>
              <w:jc w:val="both"/>
              <w:rPr>
                <w:rFonts w:ascii="Sylfaen" w:hAnsi="Sylfaen"/>
                <w:b/>
                <w:sz w:val="22"/>
                <w:szCs w:val="22"/>
                <w:lang w:val="ka-GE"/>
              </w:rPr>
            </w:pPr>
            <w:bookmarkStart w:id="0" w:name="DOCUMENT:1;HEADER:1;"/>
            <w:bookmarkStart w:id="1" w:name="DOCUMENT:1;ARTICLE:1;"/>
            <w:bookmarkStart w:id="2" w:name="DOCUMENT:1;ENCLOSURE:1;"/>
            <w:bookmarkStart w:id="3" w:name="DOCUMENT:1;ENCLOSURE:1;HEADER:1;"/>
            <w:bookmarkEnd w:id="0"/>
            <w:bookmarkEnd w:id="1"/>
            <w:bookmarkEnd w:id="2"/>
            <w:bookmarkEnd w:id="3"/>
            <w:r>
              <w:rPr>
                <w:rFonts w:ascii="Sylfaen" w:hAnsi="Sylfaen"/>
                <w:b/>
                <w:sz w:val="22"/>
                <w:szCs w:val="22"/>
                <w:lang w:val="ka-GE"/>
              </w:rPr>
              <w:t xml:space="preserve">1. </w:t>
            </w:r>
            <w:r w:rsidR="00B16AC3" w:rsidRPr="00A1006B">
              <w:rPr>
                <w:rFonts w:ascii="Sylfaen" w:hAnsi="Sylfaen"/>
                <w:b/>
                <w:sz w:val="22"/>
                <w:szCs w:val="22"/>
                <w:lang w:val="ka-GE"/>
              </w:rPr>
              <w:t>მე-4 მუხლის მე-4 პუნქტი ჩამოყალიბდეს შემდეგი რედაქციით:</w:t>
            </w:r>
          </w:p>
          <w:p w14:paraId="2BEA11EF" w14:textId="56B84A72" w:rsidR="00B16AC3" w:rsidRPr="00A1006B" w:rsidRDefault="00B16AC3" w:rsidP="00B16AC3">
            <w:pPr>
              <w:pStyle w:val="NormalWeb"/>
              <w:contextualSpacing/>
              <w:jc w:val="both"/>
              <w:rPr>
                <w:rFonts w:ascii="Sylfaen" w:hAnsi="Sylfaen" w:cs="Sylfaen"/>
                <w:bCs/>
                <w:sz w:val="22"/>
                <w:szCs w:val="22"/>
                <w:lang w:val="ka-GE"/>
              </w:rPr>
            </w:pPr>
            <w:r w:rsidRPr="00A1006B">
              <w:rPr>
                <w:rFonts w:ascii="Sylfaen" w:hAnsi="Sylfaen" w:cs="Sylfaen"/>
                <w:bCs/>
                <w:sz w:val="22"/>
                <w:szCs w:val="22"/>
                <w:lang w:val="ka-GE"/>
              </w:rPr>
              <w:t>„4. ამ მუხლის მე-2 პუნქტით გათვალისწინებული K კოეფიციენტი განისაზღვრება შემდეგნაირად: K=40%+(D%-40%)*3. იგი მეტია ან ტოლია 40%-ის და არ აღემატება 100%-ს. საანგარიშგებო t თვისთვის, D არის t-3 თვის ბოლოს არსებული სესხების დოლარიზაცია, რომელიც გამოითვლება უცხოურ ვალუტაში დენომინირებული სესხების შეფარდებით მთლიან სესხებთან. სესხები მოიცავს შემდეგი საბალ</w:t>
            </w:r>
            <w:r w:rsidR="00C57011">
              <w:rPr>
                <w:rFonts w:ascii="Sylfaen" w:hAnsi="Sylfaen" w:cs="Sylfaen"/>
                <w:bCs/>
                <w:sz w:val="22"/>
                <w:szCs w:val="22"/>
                <w:lang w:val="ka-GE"/>
              </w:rPr>
              <w:t>ა</w:t>
            </w:r>
            <w:r w:rsidRPr="00A1006B">
              <w:rPr>
                <w:rFonts w:ascii="Sylfaen" w:hAnsi="Sylfaen" w:cs="Sylfaen"/>
                <w:bCs/>
                <w:sz w:val="22"/>
                <w:szCs w:val="22"/>
                <w:lang w:val="ka-GE"/>
              </w:rPr>
              <w:t>ნსო მოთხოვნების ძირ თანხებს: სესხის ხელშეკრულებით ბანკის მიერ მსესხებლისათვის საკუთრებაში გადაცემულ ქონებას (სათანადო უზრუნველყოფით ან მის გარეშე), რომელზეც მსესხებელი კისრულობს ვალდებულებას დააბრუნოს ეს ქონება ხელშეკრულებით განსაზღვრული პირობებით. აგრეთვე, სამეურნეო და საბანკო საქმიანობასთან დაკავშირებით გაცემულ ავანსს, დებიტორულ დავალიანებას, ფაქტორინგს, სავალო ფასიან ქაღალდებს და სხვა ნებისმიერი ტიპის მოთხოვნას. ამასთან, სესხები არ მოიცავს ბაზელ III-ის დებულების მე-11 მუხლის პირველი პუნქტის „ა“-„ვ“ ქვეპუნქტებით განსაზღვრულ მოთხოვნებს.</w:t>
            </w:r>
            <w:r w:rsidR="00E52A32" w:rsidRPr="00A1006B">
              <w:rPr>
                <w:rFonts w:ascii="Sylfaen" w:hAnsi="Sylfaen" w:cs="Sylfaen"/>
                <w:bCs/>
                <w:sz w:val="22"/>
                <w:szCs w:val="22"/>
                <w:lang w:val="ka-GE"/>
              </w:rPr>
              <w:t>“.</w:t>
            </w:r>
          </w:p>
          <w:p w14:paraId="33DF5858" w14:textId="77777777" w:rsidR="00150B27" w:rsidRPr="00A1006B" w:rsidRDefault="00150B27" w:rsidP="00E3580D">
            <w:pPr>
              <w:pStyle w:val="NormalWeb"/>
              <w:contextualSpacing/>
              <w:jc w:val="both"/>
              <w:rPr>
                <w:rFonts w:ascii="Sylfaen" w:hAnsi="Sylfaen" w:cs="Sylfaen"/>
                <w:bCs/>
                <w:sz w:val="22"/>
                <w:szCs w:val="22"/>
                <w:lang w:val="ka-GE"/>
              </w:rPr>
            </w:pPr>
          </w:p>
          <w:p w14:paraId="515A874E" w14:textId="77777777" w:rsidR="00F963C6" w:rsidRDefault="00596A5E" w:rsidP="00E3580D">
            <w:pPr>
              <w:pStyle w:val="NormalWeb"/>
              <w:contextualSpacing/>
              <w:jc w:val="both"/>
              <w:rPr>
                <w:rFonts w:ascii="Sylfaen" w:hAnsi="Sylfaen"/>
                <w:b/>
                <w:sz w:val="22"/>
                <w:szCs w:val="22"/>
                <w:lang w:val="ka-GE"/>
              </w:rPr>
            </w:pPr>
            <w:r>
              <w:rPr>
                <w:rFonts w:ascii="Sylfaen" w:hAnsi="Sylfaen"/>
                <w:b/>
                <w:sz w:val="22"/>
                <w:szCs w:val="22"/>
                <w:lang w:val="ka-GE"/>
              </w:rPr>
              <w:t xml:space="preserve">2. </w:t>
            </w:r>
            <w:r w:rsidR="00150B27" w:rsidRPr="00A1006B">
              <w:rPr>
                <w:rFonts w:ascii="Sylfaen" w:hAnsi="Sylfaen"/>
                <w:b/>
                <w:sz w:val="22"/>
                <w:szCs w:val="22"/>
                <w:lang w:val="ka-GE"/>
              </w:rPr>
              <w:t>6</w:t>
            </w:r>
            <w:r w:rsidR="00150B27" w:rsidRPr="00A1006B">
              <w:rPr>
                <w:rFonts w:ascii="Sylfaen" w:hAnsi="Sylfaen"/>
                <w:b/>
                <w:sz w:val="22"/>
                <w:szCs w:val="22"/>
                <w:vertAlign w:val="superscript"/>
                <w:lang w:val="ka-GE"/>
              </w:rPr>
              <w:t>1</w:t>
            </w:r>
            <w:r w:rsidR="00150B27" w:rsidRPr="00A1006B">
              <w:rPr>
                <w:rFonts w:ascii="Sylfaen" w:hAnsi="Sylfaen"/>
                <w:b/>
                <w:sz w:val="22"/>
                <w:szCs w:val="22"/>
                <w:lang w:val="ka-GE"/>
              </w:rPr>
              <w:t xml:space="preserve"> მუხლი</w:t>
            </w:r>
            <w:r>
              <w:rPr>
                <w:rFonts w:ascii="Sylfaen" w:hAnsi="Sylfaen"/>
                <w:b/>
                <w:sz w:val="22"/>
                <w:szCs w:val="22"/>
                <w:lang w:val="ka-GE"/>
              </w:rPr>
              <w:t>ს</w:t>
            </w:r>
            <w:r w:rsidR="00F963C6">
              <w:rPr>
                <w:rFonts w:ascii="Sylfaen" w:hAnsi="Sylfaen"/>
                <w:b/>
                <w:sz w:val="22"/>
                <w:szCs w:val="22"/>
                <w:lang w:val="ka-GE"/>
              </w:rPr>
              <w:t>:</w:t>
            </w:r>
          </w:p>
          <w:p w14:paraId="7CB8B6BC" w14:textId="07DC5E24" w:rsidR="00150B27" w:rsidRPr="00A1006B" w:rsidRDefault="00F963C6" w:rsidP="00E3580D">
            <w:pPr>
              <w:pStyle w:val="NormalWeb"/>
              <w:contextualSpacing/>
              <w:jc w:val="both"/>
              <w:rPr>
                <w:rFonts w:ascii="Sylfaen" w:hAnsi="Sylfaen"/>
                <w:b/>
                <w:sz w:val="22"/>
                <w:szCs w:val="22"/>
                <w:lang w:val="ka-GE"/>
              </w:rPr>
            </w:pPr>
            <w:r>
              <w:rPr>
                <w:rFonts w:ascii="Sylfaen" w:hAnsi="Sylfaen"/>
                <w:b/>
                <w:sz w:val="22"/>
                <w:szCs w:val="22"/>
                <w:lang w:val="ka-GE"/>
              </w:rPr>
              <w:t>ა)</w:t>
            </w:r>
            <w:r w:rsidR="00596A5E">
              <w:rPr>
                <w:rFonts w:ascii="Sylfaen" w:hAnsi="Sylfaen"/>
                <w:b/>
                <w:sz w:val="22"/>
                <w:szCs w:val="22"/>
                <w:lang w:val="ka-GE"/>
              </w:rPr>
              <w:t xml:space="preserve"> მე-2 </w:t>
            </w:r>
            <w:r>
              <w:rPr>
                <w:rFonts w:ascii="Sylfaen" w:hAnsi="Sylfaen"/>
                <w:b/>
                <w:sz w:val="22"/>
                <w:szCs w:val="22"/>
                <w:lang w:val="ka-GE"/>
              </w:rPr>
              <w:t xml:space="preserve"> და მე-3 </w:t>
            </w:r>
            <w:r w:rsidR="00596A5E">
              <w:rPr>
                <w:rFonts w:ascii="Sylfaen" w:hAnsi="Sylfaen"/>
                <w:b/>
                <w:sz w:val="22"/>
                <w:szCs w:val="22"/>
                <w:lang w:val="ka-GE"/>
              </w:rPr>
              <w:t>პუნქტ</w:t>
            </w:r>
            <w:r>
              <w:rPr>
                <w:rFonts w:ascii="Sylfaen" w:hAnsi="Sylfaen"/>
                <w:b/>
                <w:sz w:val="22"/>
                <w:szCs w:val="22"/>
                <w:lang w:val="ka-GE"/>
              </w:rPr>
              <w:t>ებ</w:t>
            </w:r>
            <w:r w:rsidR="00596A5E">
              <w:rPr>
                <w:rFonts w:ascii="Sylfaen" w:hAnsi="Sylfaen"/>
                <w:b/>
                <w:sz w:val="22"/>
                <w:szCs w:val="22"/>
                <w:lang w:val="ka-GE"/>
              </w:rPr>
              <w:t>ი ჩამოყალიბდეს შემდეგი რედაქციით:</w:t>
            </w:r>
          </w:p>
        </w:tc>
      </w:tr>
    </w:tbl>
    <w:p w14:paraId="14D04D91" w14:textId="770CE9AD" w:rsidR="00E81CB9" w:rsidRDefault="00596A5E">
      <w:pPr>
        <w:spacing w:before="120" w:after="120"/>
        <w:jc w:val="both"/>
        <w:divId w:val="1802768214"/>
        <w:rPr>
          <w:rFonts w:ascii="Sylfaen" w:eastAsia="Times New Roman" w:hAnsi="Sylfaen"/>
          <w:sz w:val="22"/>
          <w:szCs w:val="22"/>
          <w:lang w:val="ka-GE"/>
        </w:rPr>
      </w:pPr>
      <w:bookmarkStart w:id="4" w:name="DOCUMENT:1;ENCLOSURE:1;ARTICLE:5;"/>
      <w:bookmarkStart w:id="5" w:name="DOCUMENT:1;ENCLOSURE:1;ARTICLE:6;"/>
      <w:bookmarkStart w:id="6" w:name="DOCUMENT:1;ENCLOSURE:1;ARTICLE:7;"/>
      <w:bookmarkEnd w:id="4"/>
      <w:bookmarkEnd w:id="5"/>
      <w:bookmarkEnd w:id="6"/>
      <w:r>
        <w:rPr>
          <w:rFonts w:ascii="Sylfaen" w:eastAsia="Times New Roman" w:hAnsi="Sylfaen"/>
          <w:sz w:val="22"/>
          <w:szCs w:val="22"/>
          <w:lang w:val="ka-GE"/>
        </w:rPr>
        <w:t>„</w:t>
      </w:r>
      <w:r w:rsidR="004547F1" w:rsidRPr="00A1006B">
        <w:rPr>
          <w:rFonts w:ascii="Sylfaen" w:eastAsia="Times New Roman" w:hAnsi="Sylfaen"/>
          <w:sz w:val="22"/>
          <w:szCs w:val="22"/>
        </w:rPr>
        <w:t xml:space="preserve">2. </w:t>
      </w:r>
      <w:r w:rsidR="004547F1" w:rsidRPr="00A1006B">
        <w:rPr>
          <w:rFonts w:ascii="Sylfaen" w:hAnsi="Sylfaen"/>
          <w:sz w:val="22"/>
          <w:szCs w:val="22"/>
          <w:lang w:val="ka-GE"/>
        </w:rPr>
        <w:t xml:space="preserve">საკრედიტო რისკის კორექტირების ბუფერი განისაზღვრება თითოეული ბანკისათვის ინდივიდუალურად </w:t>
      </w:r>
      <w:r>
        <w:rPr>
          <w:rFonts w:ascii="Sylfaen" w:eastAsia="Times New Roman" w:hAnsi="Sylfaen" w:cs="Sylfaen"/>
          <w:sz w:val="22"/>
          <w:szCs w:val="22"/>
          <w:lang w:val="ka-GE"/>
        </w:rPr>
        <w:t xml:space="preserve">ამ მუხლის მე-3, </w:t>
      </w:r>
      <w:r w:rsidR="004547F1" w:rsidRPr="00A1006B">
        <w:rPr>
          <w:rFonts w:ascii="Sylfaen" w:eastAsia="Times New Roman" w:hAnsi="Sylfaen" w:cs="Sylfaen"/>
          <w:sz w:val="22"/>
          <w:szCs w:val="22"/>
          <w:lang w:val="ka-GE"/>
        </w:rPr>
        <w:t>მე-</w:t>
      </w:r>
      <w:r w:rsidR="00A458A2" w:rsidRPr="00A1006B">
        <w:rPr>
          <w:rFonts w:ascii="Sylfaen" w:eastAsia="Times New Roman" w:hAnsi="Sylfaen" w:cs="Sylfaen"/>
          <w:sz w:val="22"/>
          <w:szCs w:val="22"/>
          <w:lang w:val="ka-GE"/>
        </w:rPr>
        <w:t>9</w:t>
      </w:r>
      <w:r>
        <w:rPr>
          <w:rFonts w:ascii="Sylfaen" w:eastAsia="Times New Roman" w:hAnsi="Sylfaen" w:cs="Sylfaen"/>
          <w:sz w:val="22"/>
          <w:szCs w:val="22"/>
          <w:lang w:val="ka-GE"/>
        </w:rPr>
        <w:t xml:space="preserve"> და მე-10</w:t>
      </w:r>
      <w:r w:rsidR="004547F1" w:rsidRPr="00A1006B">
        <w:rPr>
          <w:rFonts w:ascii="Sylfaen" w:eastAsia="Times New Roman" w:hAnsi="Sylfaen" w:cs="Sylfaen"/>
          <w:sz w:val="22"/>
          <w:szCs w:val="22"/>
          <w:lang w:val="ka-GE"/>
        </w:rPr>
        <w:t xml:space="preserve"> პუნქტები</w:t>
      </w:r>
      <w:r w:rsidR="00E33DC3" w:rsidRPr="00A1006B">
        <w:rPr>
          <w:rFonts w:ascii="Sylfaen" w:eastAsia="Times New Roman" w:hAnsi="Sylfaen" w:cs="Sylfaen"/>
          <w:sz w:val="22"/>
          <w:szCs w:val="22"/>
          <w:lang w:val="ka-GE"/>
        </w:rPr>
        <w:t>თ</w:t>
      </w:r>
      <w:r w:rsidR="004547F1" w:rsidRPr="00A1006B">
        <w:rPr>
          <w:rFonts w:ascii="Sylfaen" w:eastAsia="Times New Roman" w:hAnsi="Sylfaen" w:cs="Sylfaen"/>
          <w:sz w:val="22"/>
          <w:szCs w:val="22"/>
          <w:lang w:val="ka-GE"/>
        </w:rPr>
        <w:t xml:space="preserve"> </w:t>
      </w:r>
      <w:r w:rsidR="00E33DC3" w:rsidRPr="00A1006B">
        <w:rPr>
          <w:rFonts w:ascii="Sylfaen" w:eastAsia="Times New Roman" w:hAnsi="Sylfaen" w:cs="Sylfaen"/>
          <w:sz w:val="22"/>
          <w:szCs w:val="22"/>
          <w:lang w:val="ka-GE"/>
        </w:rPr>
        <w:t>გათვალისწინებული</w:t>
      </w:r>
      <w:r w:rsidR="004547F1" w:rsidRPr="00A1006B">
        <w:rPr>
          <w:rFonts w:ascii="Sylfaen" w:eastAsia="Times New Roman" w:hAnsi="Sylfaen" w:cs="Sylfaen"/>
          <w:sz w:val="22"/>
          <w:szCs w:val="22"/>
          <w:lang w:val="ka-GE"/>
        </w:rPr>
        <w:t xml:space="preserve"> კომპონენტები</w:t>
      </w:r>
      <w:r w:rsidR="004547F1" w:rsidRPr="00A1006B">
        <w:rPr>
          <w:rFonts w:ascii="Sylfaen" w:eastAsia="Times New Roman" w:hAnsi="Sylfaen" w:cs="Sylfaen"/>
          <w:sz w:val="22"/>
          <w:szCs w:val="22"/>
        </w:rPr>
        <w:t>ს</w:t>
      </w:r>
      <w:r w:rsidR="004547F1" w:rsidRPr="00A1006B">
        <w:rPr>
          <w:rFonts w:ascii="Sylfaen" w:eastAsia="Times New Roman" w:hAnsi="Sylfaen"/>
          <w:sz w:val="22"/>
          <w:szCs w:val="22"/>
        </w:rPr>
        <w:t xml:space="preserve"> </w:t>
      </w:r>
      <w:r w:rsidR="004547F1" w:rsidRPr="00A1006B">
        <w:rPr>
          <w:rFonts w:ascii="Sylfaen" w:eastAsia="Times New Roman" w:hAnsi="Sylfaen" w:cs="Sylfaen"/>
          <w:sz w:val="22"/>
          <w:szCs w:val="22"/>
        </w:rPr>
        <w:t>ჯამი</w:t>
      </w:r>
      <w:r w:rsidR="004547F1" w:rsidRPr="00A1006B">
        <w:rPr>
          <w:rFonts w:ascii="Sylfaen" w:eastAsia="Times New Roman" w:hAnsi="Sylfaen" w:cs="Sylfaen"/>
          <w:sz w:val="22"/>
          <w:szCs w:val="22"/>
          <w:lang w:val="ka-GE"/>
        </w:rPr>
        <w:t>ს გაყოფით ბანკის მთლიან</w:t>
      </w:r>
      <w:r w:rsidR="00E33DC3" w:rsidRPr="00A1006B">
        <w:rPr>
          <w:rFonts w:ascii="Sylfaen" w:eastAsia="Times New Roman" w:hAnsi="Sylfaen" w:cs="Sylfaen"/>
          <w:sz w:val="22"/>
          <w:szCs w:val="22"/>
          <w:lang w:val="ka-GE"/>
        </w:rPr>
        <w:t>ი</w:t>
      </w:r>
      <w:r w:rsidR="004547F1" w:rsidRPr="00A1006B">
        <w:rPr>
          <w:rFonts w:ascii="Sylfaen" w:eastAsia="Times New Roman" w:hAnsi="Sylfaen" w:cs="Sylfaen"/>
          <w:sz w:val="22"/>
          <w:szCs w:val="22"/>
          <w:lang w:val="ka-GE"/>
        </w:rPr>
        <w:t xml:space="preserve"> რისკის მიხედ</w:t>
      </w:r>
      <w:r w:rsidR="00E33DC3" w:rsidRPr="00A1006B">
        <w:rPr>
          <w:rFonts w:ascii="Sylfaen" w:eastAsia="Times New Roman" w:hAnsi="Sylfaen" w:cs="Sylfaen"/>
          <w:sz w:val="22"/>
          <w:szCs w:val="22"/>
          <w:lang w:val="ka-GE"/>
        </w:rPr>
        <w:t>ვ</w:t>
      </w:r>
      <w:r w:rsidR="004547F1" w:rsidRPr="00A1006B">
        <w:rPr>
          <w:rFonts w:ascii="Sylfaen" w:eastAsia="Times New Roman" w:hAnsi="Sylfaen" w:cs="Sylfaen"/>
          <w:sz w:val="22"/>
          <w:szCs w:val="22"/>
          <w:lang w:val="ka-GE"/>
        </w:rPr>
        <w:t>ით შეწონილ რისკის პოზიციებთან</w:t>
      </w:r>
      <w:r w:rsidR="004547F1" w:rsidRPr="00A1006B">
        <w:rPr>
          <w:rFonts w:ascii="Sylfaen" w:eastAsia="Times New Roman" w:hAnsi="Sylfaen"/>
          <w:sz w:val="22"/>
          <w:szCs w:val="22"/>
          <w:lang w:val="ka-GE"/>
        </w:rPr>
        <w:t>.</w:t>
      </w:r>
    </w:p>
    <w:p w14:paraId="0267E885" w14:textId="77777777" w:rsidR="00C57011" w:rsidRDefault="00C57011">
      <w:pPr>
        <w:spacing w:before="120" w:after="120"/>
        <w:jc w:val="both"/>
        <w:divId w:val="1802768214"/>
        <w:rPr>
          <w:rFonts w:ascii="Sylfaen" w:eastAsia="Times New Roman" w:hAnsi="Sylfaen"/>
          <w:sz w:val="22"/>
          <w:szCs w:val="22"/>
          <w:lang w:val="ka-GE"/>
        </w:rPr>
      </w:pPr>
    </w:p>
    <w:p w14:paraId="4A4DDA5B" w14:textId="622C3F23" w:rsidR="00141F87" w:rsidRDefault="004547F1">
      <w:pPr>
        <w:spacing w:before="120" w:after="120" w:line="276" w:lineRule="auto"/>
        <w:jc w:val="both"/>
        <w:divId w:val="1802768214"/>
        <w:rPr>
          <w:rFonts w:ascii="Sylfaen" w:hAnsi="Sylfaen"/>
          <w:sz w:val="22"/>
          <w:szCs w:val="22"/>
          <w:lang w:val="ka-GE"/>
        </w:rPr>
      </w:pPr>
      <w:r w:rsidRPr="00A1006B">
        <w:rPr>
          <w:rFonts w:ascii="Sylfaen" w:hAnsi="Sylfaen"/>
          <w:sz w:val="22"/>
          <w:szCs w:val="22"/>
          <w:lang w:val="ka-GE"/>
        </w:rPr>
        <w:lastRenderedPageBreak/>
        <w:t xml:space="preserve">3. საკრედიტო რისკის კორექტირების ბუფერის პირველ კომპონენტს წარმოადგენს </w:t>
      </w:r>
      <w:r w:rsidR="00E33DC3" w:rsidRPr="00A1006B">
        <w:rPr>
          <w:rFonts w:ascii="Sylfaen" w:hAnsi="Sylfaen"/>
          <w:sz w:val="22"/>
          <w:szCs w:val="22"/>
          <w:lang w:val="ka-GE"/>
        </w:rPr>
        <w:t>საქართველოს ეროვნული ბანკის პრეზიდენტის ბრძანებით დამტკიცებული „</w:t>
      </w:r>
      <w:r w:rsidRPr="00A1006B">
        <w:rPr>
          <w:rFonts w:ascii="Sylfaen" w:hAnsi="Sylfaen"/>
          <w:sz w:val="22"/>
          <w:szCs w:val="22"/>
          <w:lang w:val="ka-GE"/>
        </w:rPr>
        <w:t>ფინანსური ინსტრუმენტების რისკის კატეგორიებისა და მოსალოდნელი საკრედიტო ზარალის განსაზღვრის წესით“ განსაზღვრული საბალანსო ფინანსური ინსტრუმენტებისთვის საკრედიტო რისკის კატეგორიების მიხედ</w:t>
      </w:r>
      <w:r w:rsidR="0003296E" w:rsidRPr="00A1006B">
        <w:rPr>
          <w:rFonts w:ascii="Sylfaen" w:hAnsi="Sylfaen"/>
          <w:sz w:val="22"/>
          <w:szCs w:val="22"/>
          <w:lang w:val="ka-GE"/>
        </w:rPr>
        <w:t>ვ</w:t>
      </w:r>
      <w:r w:rsidRPr="00A1006B">
        <w:rPr>
          <w:rFonts w:ascii="Sylfaen" w:hAnsi="Sylfaen"/>
          <w:sz w:val="22"/>
          <w:szCs w:val="22"/>
          <w:lang w:val="ka-GE"/>
        </w:rPr>
        <w:t xml:space="preserve">ით ამ </w:t>
      </w:r>
      <w:r w:rsidR="004152B1" w:rsidRPr="00A1006B">
        <w:rPr>
          <w:rFonts w:ascii="Sylfaen" w:hAnsi="Sylfaen"/>
          <w:sz w:val="22"/>
          <w:szCs w:val="22"/>
          <w:lang w:val="ka-GE"/>
        </w:rPr>
        <w:t>მუხლი</w:t>
      </w:r>
      <w:r w:rsidR="00A458A2" w:rsidRPr="00A1006B">
        <w:rPr>
          <w:rFonts w:ascii="Sylfaen" w:hAnsi="Sylfaen"/>
          <w:sz w:val="22"/>
          <w:szCs w:val="22"/>
          <w:lang w:val="ka-GE"/>
        </w:rPr>
        <w:t>ს</w:t>
      </w:r>
      <w:r w:rsidR="004152B1" w:rsidRPr="00A1006B">
        <w:rPr>
          <w:rFonts w:ascii="Sylfaen" w:hAnsi="Sylfaen"/>
          <w:sz w:val="22"/>
          <w:szCs w:val="22"/>
          <w:lang w:val="ka-GE"/>
        </w:rPr>
        <w:t xml:space="preserve"> მე-4 </w:t>
      </w:r>
      <w:r w:rsidRPr="00A1006B">
        <w:rPr>
          <w:rFonts w:ascii="Sylfaen" w:hAnsi="Sylfaen"/>
          <w:sz w:val="22"/>
          <w:szCs w:val="22"/>
          <w:lang w:val="ka-GE"/>
        </w:rPr>
        <w:t>პუნქტი</w:t>
      </w:r>
      <w:r w:rsidR="00F963C6">
        <w:rPr>
          <w:rFonts w:ascii="Sylfaen" w:hAnsi="Sylfaen"/>
          <w:sz w:val="22"/>
          <w:szCs w:val="22"/>
          <w:lang w:val="ka-GE"/>
        </w:rPr>
        <w:t xml:space="preserve">თ </w:t>
      </w:r>
      <w:r w:rsidR="00D53548" w:rsidRPr="00A1006B">
        <w:rPr>
          <w:rFonts w:ascii="Sylfaen" w:hAnsi="Sylfaen"/>
          <w:sz w:val="22"/>
          <w:szCs w:val="22"/>
          <w:lang w:val="ka-GE"/>
        </w:rPr>
        <w:t xml:space="preserve">განსაზღვრული </w:t>
      </w:r>
      <w:r w:rsidR="00596A5E">
        <w:rPr>
          <w:rFonts w:ascii="Sylfaen" w:hAnsi="Sylfaen"/>
          <w:sz w:val="22"/>
          <w:szCs w:val="22"/>
          <w:lang w:val="ka-GE"/>
        </w:rPr>
        <w:t xml:space="preserve">თითოეული </w:t>
      </w:r>
      <w:r w:rsidR="004152B1" w:rsidRPr="00A1006B">
        <w:rPr>
          <w:rFonts w:ascii="Sylfaen" w:hAnsi="Sylfaen"/>
          <w:sz w:val="22"/>
          <w:szCs w:val="22"/>
          <w:lang w:val="ka-GE"/>
        </w:rPr>
        <w:t>სცენარის</w:t>
      </w:r>
      <w:r w:rsidRPr="00A1006B">
        <w:rPr>
          <w:rFonts w:ascii="Sylfaen" w:hAnsi="Sylfaen"/>
          <w:sz w:val="22"/>
          <w:szCs w:val="22"/>
          <w:lang w:val="ka-GE"/>
        </w:rPr>
        <w:t xml:space="preserve"> </w:t>
      </w:r>
      <w:r w:rsidR="00596A5E" w:rsidRPr="00596A5E">
        <w:rPr>
          <w:rFonts w:ascii="Sylfaen" w:hAnsi="Sylfaen"/>
          <w:sz w:val="22"/>
          <w:szCs w:val="22"/>
          <w:lang w:val="ka-GE"/>
        </w:rPr>
        <w:t xml:space="preserve">რეზერვის მოცულობასა და ბანკის მიერ ფინანსური ანგარიშგების საერთაშორისო სტანდარტებზე (ფასს) დაფუძნებული და საბალანსო უწყისისთვის დაანგარიშებული შესაბამისი დონის ფინანსური ინსტრუმენტებისთვის შექმნილი მოსალოდნელი საკრედიტო ზარალის მოცულობას შორის </w:t>
      </w:r>
      <w:r w:rsidR="00347579">
        <w:rPr>
          <w:rFonts w:ascii="Sylfaen" w:hAnsi="Sylfaen"/>
          <w:sz w:val="22"/>
          <w:szCs w:val="22"/>
          <w:lang w:val="ka-GE"/>
        </w:rPr>
        <w:t>დადები</w:t>
      </w:r>
      <w:r w:rsidR="00F37FA7">
        <w:rPr>
          <w:rFonts w:ascii="Sylfaen" w:hAnsi="Sylfaen"/>
          <w:sz w:val="22"/>
          <w:szCs w:val="22"/>
          <w:lang w:val="ka-GE"/>
        </w:rPr>
        <w:t xml:space="preserve">თი </w:t>
      </w:r>
      <w:r w:rsidR="00596A5E" w:rsidRPr="00596A5E">
        <w:rPr>
          <w:rFonts w:ascii="Sylfaen" w:hAnsi="Sylfaen"/>
          <w:sz w:val="22"/>
          <w:szCs w:val="22"/>
          <w:lang w:val="ka-GE"/>
        </w:rPr>
        <w:t xml:space="preserve">სხვაობების ჯამი. აღნიშნული სხვაობები დათვლილი უნდა იყოს ამავე მუხლის მე-5 პუნქტის </w:t>
      </w:r>
      <w:r w:rsidR="00596A5E">
        <w:rPr>
          <w:rFonts w:ascii="Sylfaen" w:hAnsi="Sylfaen"/>
          <w:sz w:val="22"/>
          <w:szCs w:val="22"/>
          <w:lang w:val="ka-GE"/>
        </w:rPr>
        <w:t>გათვალისწინებით.“</w:t>
      </w:r>
      <w:r w:rsidR="00624941">
        <w:rPr>
          <w:rFonts w:ascii="Sylfaen" w:hAnsi="Sylfaen"/>
          <w:sz w:val="22"/>
          <w:szCs w:val="22"/>
          <w:lang w:val="ka-GE"/>
        </w:rPr>
        <w:t>;</w:t>
      </w:r>
    </w:p>
    <w:p w14:paraId="7F1C6A2D" w14:textId="77777777" w:rsidR="00C57011" w:rsidRDefault="00C57011">
      <w:pPr>
        <w:spacing w:before="120" w:after="120" w:line="276" w:lineRule="auto"/>
        <w:jc w:val="both"/>
        <w:divId w:val="1802768214"/>
        <w:rPr>
          <w:rFonts w:ascii="Sylfaen" w:hAnsi="Sylfaen"/>
          <w:sz w:val="22"/>
          <w:szCs w:val="22"/>
          <w:lang w:val="ka-GE"/>
        </w:rPr>
      </w:pPr>
    </w:p>
    <w:p w14:paraId="2F955170" w14:textId="210A90E1" w:rsidR="00596A5E" w:rsidRPr="00596A5E" w:rsidRDefault="00F963C6" w:rsidP="00596A5E">
      <w:pPr>
        <w:spacing w:before="120" w:after="120"/>
        <w:jc w:val="both"/>
        <w:divId w:val="1802768214"/>
        <w:rPr>
          <w:rFonts w:ascii="Sylfaen" w:eastAsia="Times New Roman" w:hAnsi="Sylfaen"/>
          <w:b/>
          <w:sz w:val="22"/>
          <w:szCs w:val="22"/>
          <w:lang w:val="ka-GE"/>
        </w:rPr>
      </w:pPr>
      <w:r>
        <w:rPr>
          <w:rFonts w:ascii="Sylfaen" w:eastAsia="Times New Roman" w:hAnsi="Sylfaen"/>
          <w:b/>
          <w:sz w:val="22"/>
          <w:szCs w:val="22"/>
          <w:lang w:val="ka-GE"/>
        </w:rPr>
        <w:t>ბ)</w:t>
      </w:r>
      <w:r w:rsidR="00596A5E" w:rsidRPr="00596A5E">
        <w:rPr>
          <w:rFonts w:ascii="Sylfaen" w:hAnsi="Sylfaen"/>
          <w:b/>
          <w:sz w:val="22"/>
          <w:szCs w:val="22"/>
          <w:lang w:val="ka-GE"/>
        </w:rPr>
        <w:t xml:space="preserve"> მე</w:t>
      </w:r>
      <w:r w:rsidR="00596A5E">
        <w:rPr>
          <w:rFonts w:ascii="Sylfaen" w:hAnsi="Sylfaen"/>
          <w:b/>
          <w:sz w:val="22"/>
          <w:szCs w:val="22"/>
          <w:lang w:val="ka-GE"/>
        </w:rPr>
        <w:t>-5</w:t>
      </w:r>
      <w:r w:rsidR="00596A5E" w:rsidRPr="00596A5E">
        <w:rPr>
          <w:rFonts w:ascii="Sylfaen" w:hAnsi="Sylfaen"/>
          <w:b/>
          <w:sz w:val="22"/>
          <w:szCs w:val="22"/>
          <w:lang w:val="ka-GE"/>
        </w:rPr>
        <w:t xml:space="preserve"> პუნქტი ჩამოყალიბდეს შემდეგი რედაქციით:</w:t>
      </w:r>
    </w:p>
    <w:p w14:paraId="67AD5A6D" w14:textId="1F96C09D" w:rsidR="00596A5E" w:rsidRDefault="00596A5E" w:rsidP="00596A5E">
      <w:pPr>
        <w:spacing w:before="120" w:after="120" w:line="276" w:lineRule="auto"/>
        <w:jc w:val="both"/>
        <w:divId w:val="1802768214"/>
        <w:rPr>
          <w:rFonts w:ascii="Sylfaen" w:hAnsi="Sylfaen"/>
          <w:sz w:val="22"/>
          <w:szCs w:val="22"/>
          <w:lang w:val="ka-GE"/>
        </w:rPr>
      </w:pPr>
      <w:r>
        <w:rPr>
          <w:rFonts w:ascii="Sylfaen" w:hAnsi="Sylfaen"/>
          <w:sz w:val="22"/>
          <w:szCs w:val="22"/>
          <w:lang w:val="ka-GE"/>
        </w:rPr>
        <w:t>„</w:t>
      </w:r>
      <w:r w:rsidR="004152B1" w:rsidRPr="00A1006B">
        <w:rPr>
          <w:rFonts w:ascii="Sylfaen" w:hAnsi="Sylfaen"/>
          <w:sz w:val="22"/>
          <w:szCs w:val="22"/>
          <w:lang w:val="ka-GE"/>
        </w:rPr>
        <w:t>5</w:t>
      </w:r>
      <w:r w:rsidR="00A87E9B" w:rsidRPr="00A1006B">
        <w:rPr>
          <w:rFonts w:ascii="Sylfaen" w:hAnsi="Sylfaen"/>
          <w:sz w:val="22"/>
          <w:szCs w:val="22"/>
          <w:lang w:val="ka-GE"/>
        </w:rPr>
        <w:t>.</w:t>
      </w:r>
      <w:r w:rsidR="00E32F5E" w:rsidRPr="00A1006B">
        <w:rPr>
          <w:rFonts w:ascii="Sylfaen" w:hAnsi="Sylfaen"/>
          <w:sz w:val="22"/>
          <w:szCs w:val="22"/>
          <w:lang w:val="ka-GE"/>
        </w:rPr>
        <w:t xml:space="preserve"> </w:t>
      </w:r>
      <w:r w:rsidRPr="00596A5E">
        <w:rPr>
          <w:rFonts w:ascii="Sylfaen" w:hAnsi="Sylfaen"/>
          <w:sz w:val="22"/>
          <w:szCs w:val="22"/>
          <w:lang w:val="ka-GE"/>
        </w:rPr>
        <w:t xml:space="preserve">ამ მუხლის მე-3 პუნქტით გათვალისწინებული კომპონენტის დათვლის მიზნებისთვის, ბანკმა უნდა აიღოს: </w:t>
      </w:r>
    </w:p>
    <w:p w14:paraId="407C9562" w14:textId="1F503031" w:rsidR="00596A5E" w:rsidRPr="00596A5E" w:rsidRDefault="00596A5E" w:rsidP="00596A5E">
      <w:pPr>
        <w:spacing w:before="120" w:after="120" w:line="276" w:lineRule="auto"/>
        <w:jc w:val="both"/>
        <w:divId w:val="1802768214"/>
        <w:rPr>
          <w:rFonts w:ascii="Sylfaen" w:hAnsi="Sylfaen"/>
          <w:sz w:val="22"/>
          <w:szCs w:val="22"/>
          <w:lang w:val="ka-GE"/>
        </w:rPr>
      </w:pPr>
      <w:r w:rsidRPr="00596A5E">
        <w:rPr>
          <w:rFonts w:ascii="Sylfaen" w:hAnsi="Sylfaen"/>
          <w:sz w:val="22"/>
          <w:szCs w:val="22"/>
          <w:lang w:val="ka-GE"/>
        </w:rPr>
        <w:t xml:space="preserve">ა) მაქსიმალური, </w:t>
      </w:r>
      <w:r w:rsidR="00B01E1D">
        <w:rPr>
          <w:rFonts w:ascii="Sylfaen" w:hAnsi="Sylfaen"/>
          <w:sz w:val="22"/>
          <w:szCs w:val="22"/>
          <w:lang w:val="ka-GE"/>
        </w:rPr>
        <w:t>ერთი</w:t>
      </w:r>
      <w:r w:rsidRPr="00596A5E">
        <w:rPr>
          <w:rFonts w:ascii="Sylfaen" w:hAnsi="Sylfaen"/>
          <w:sz w:val="22"/>
          <w:szCs w:val="22"/>
          <w:lang w:val="ka-GE"/>
        </w:rPr>
        <w:t xml:space="preserve"> მხრივ, ამ მუხლის მე-4 პუნქტის „ა“</w:t>
      </w:r>
      <w:r w:rsidR="006F3B9C">
        <w:rPr>
          <w:rFonts w:ascii="Sylfaen" w:hAnsi="Sylfaen"/>
          <w:sz w:val="22"/>
          <w:szCs w:val="22"/>
          <w:lang w:val="ka-GE"/>
        </w:rPr>
        <w:t xml:space="preserve"> </w:t>
      </w:r>
      <w:r w:rsidRPr="00596A5E">
        <w:rPr>
          <w:rFonts w:ascii="Sylfaen" w:hAnsi="Sylfaen"/>
          <w:sz w:val="22"/>
          <w:szCs w:val="22"/>
          <w:lang w:val="ka-GE"/>
        </w:rPr>
        <w:t xml:space="preserve">ქვეპუნქტის შესაბამისად დათვლილ რეზერვის მოცულობასა და ბანკის მიერ ფასს-ზე დაფუძნებული და საბალანსო უწყისისთვის დაანგარიშებული პირველი დონის </w:t>
      </w:r>
      <w:r w:rsidR="00624941" w:rsidRPr="00624941">
        <w:rPr>
          <w:rFonts w:ascii="Sylfaen" w:hAnsi="Sylfaen"/>
          <w:sz w:val="22"/>
          <w:szCs w:val="22"/>
          <w:lang w:val="ka-GE"/>
        </w:rPr>
        <w:t>საკრედიტო რისკის კატეგორიაში კლასიფიცირებული</w:t>
      </w:r>
      <w:r w:rsidR="00624941">
        <w:rPr>
          <w:rFonts w:ascii="Sylfaen" w:hAnsi="Sylfaen"/>
          <w:sz w:val="22"/>
          <w:szCs w:val="22"/>
          <w:lang w:val="ka-GE"/>
        </w:rPr>
        <w:t xml:space="preserve"> </w:t>
      </w:r>
      <w:r w:rsidRPr="00596A5E">
        <w:rPr>
          <w:rFonts w:ascii="Sylfaen" w:hAnsi="Sylfaen"/>
          <w:sz w:val="22"/>
          <w:szCs w:val="22"/>
          <w:lang w:val="ka-GE"/>
        </w:rPr>
        <w:t xml:space="preserve">ფინანსური ინსტრუმენტების მოსალოდნელი საკრედიტო ზარალის მოცულობის სხვაობასა და მეორე მხრივ, ნულს შორის; </w:t>
      </w:r>
    </w:p>
    <w:p w14:paraId="5DBAB778" w14:textId="1267C956" w:rsidR="007A51D3" w:rsidRDefault="00596A5E" w:rsidP="00596A5E">
      <w:pPr>
        <w:spacing w:before="120" w:after="120" w:line="276" w:lineRule="auto"/>
        <w:jc w:val="both"/>
        <w:divId w:val="1802768214"/>
        <w:rPr>
          <w:rFonts w:ascii="Sylfaen" w:hAnsi="Sylfaen"/>
          <w:sz w:val="22"/>
          <w:szCs w:val="22"/>
          <w:lang w:val="ka-GE"/>
        </w:rPr>
      </w:pPr>
      <w:r w:rsidRPr="00596A5E">
        <w:rPr>
          <w:rFonts w:ascii="Sylfaen" w:hAnsi="Sylfaen"/>
          <w:sz w:val="22"/>
          <w:szCs w:val="22"/>
          <w:lang w:val="ka-GE"/>
        </w:rPr>
        <w:t>ბ) მაქსიმალური</w:t>
      </w:r>
      <w:r>
        <w:rPr>
          <w:rFonts w:ascii="Sylfaen" w:hAnsi="Sylfaen"/>
          <w:sz w:val="22"/>
          <w:szCs w:val="22"/>
          <w:lang w:val="ka-GE"/>
        </w:rPr>
        <w:t xml:space="preserve">, </w:t>
      </w:r>
      <w:r w:rsidR="00B01E1D">
        <w:rPr>
          <w:rFonts w:ascii="Sylfaen" w:hAnsi="Sylfaen"/>
          <w:sz w:val="22"/>
          <w:szCs w:val="22"/>
          <w:lang w:val="ka-GE"/>
        </w:rPr>
        <w:t>ერთი</w:t>
      </w:r>
      <w:r w:rsidRPr="00596A5E">
        <w:rPr>
          <w:rFonts w:ascii="Sylfaen" w:hAnsi="Sylfaen"/>
          <w:sz w:val="22"/>
          <w:szCs w:val="22"/>
          <w:lang w:val="ka-GE"/>
        </w:rPr>
        <w:t xml:space="preserve"> მხრივ</w:t>
      </w:r>
      <w:r>
        <w:rPr>
          <w:rFonts w:ascii="Sylfaen" w:hAnsi="Sylfaen"/>
          <w:sz w:val="22"/>
          <w:szCs w:val="22"/>
          <w:lang w:val="ka-GE"/>
        </w:rPr>
        <w:t xml:space="preserve">, </w:t>
      </w:r>
      <w:r w:rsidRPr="00596A5E">
        <w:rPr>
          <w:rFonts w:ascii="Sylfaen" w:hAnsi="Sylfaen"/>
          <w:sz w:val="22"/>
          <w:szCs w:val="22"/>
          <w:lang w:val="ka-GE"/>
        </w:rPr>
        <w:t xml:space="preserve">ამ მუხლის მე-4 პუნქტის „ბ“ ქვეპუნქტის შესაბამისად დათვლილ რეზერვის მოცულობასა და ბანკის მიერ ფასს-ზე დაფუძნებული და საბალანსო უწყისისთვის დაანგარიშებული მე-2 დონის </w:t>
      </w:r>
      <w:r w:rsidR="005C1B0F" w:rsidRPr="005C1B0F">
        <w:rPr>
          <w:rFonts w:ascii="Sylfaen" w:hAnsi="Sylfaen"/>
          <w:sz w:val="22"/>
          <w:szCs w:val="22"/>
          <w:lang w:val="ka-GE"/>
        </w:rPr>
        <w:t>საკრედიტო რისკის კატეგორიაში კლასიფიცირებული</w:t>
      </w:r>
      <w:r w:rsidR="005C1B0F">
        <w:rPr>
          <w:rFonts w:ascii="Sylfaen" w:hAnsi="Sylfaen"/>
          <w:sz w:val="22"/>
          <w:szCs w:val="22"/>
          <w:lang w:val="ka-GE"/>
        </w:rPr>
        <w:t xml:space="preserve"> </w:t>
      </w:r>
      <w:r w:rsidRPr="00596A5E">
        <w:rPr>
          <w:rFonts w:ascii="Sylfaen" w:hAnsi="Sylfaen"/>
          <w:sz w:val="22"/>
          <w:szCs w:val="22"/>
          <w:lang w:val="ka-GE"/>
        </w:rPr>
        <w:t>ფინანსური ინსტრუმენტების მოსალოდნელი საკრედიტო ზარალის მოცულობის სხვაობასა და მეორე მხრივ, ნულს შორის</w:t>
      </w:r>
      <w:r w:rsidR="007A51D3">
        <w:rPr>
          <w:rFonts w:ascii="Sylfaen" w:hAnsi="Sylfaen"/>
          <w:sz w:val="22"/>
          <w:szCs w:val="22"/>
          <w:lang w:val="ka-GE"/>
        </w:rPr>
        <w:t>;</w:t>
      </w:r>
    </w:p>
    <w:p w14:paraId="2A37D968" w14:textId="047269C6" w:rsidR="00E81CB9" w:rsidRDefault="007A51D3" w:rsidP="00596A5E">
      <w:pPr>
        <w:spacing w:before="120" w:after="120" w:line="276" w:lineRule="auto"/>
        <w:jc w:val="both"/>
        <w:divId w:val="1802768214"/>
        <w:rPr>
          <w:rFonts w:ascii="Sylfaen" w:hAnsi="Sylfaen"/>
          <w:sz w:val="22"/>
          <w:szCs w:val="22"/>
          <w:lang w:val="ka-GE"/>
        </w:rPr>
      </w:pPr>
      <w:r>
        <w:rPr>
          <w:rFonts w:ascii="Sylfaen" w:hAnsi="Sylfaen"/>
          <w:sz w:val="22"/>
          <w:szCs w:val="22"/>
          <w:lang w:val="ka-GE"/>
        </w:rPr>
        <w:t xml:space="preserve">გ) </w:t>
      </w:r>
      <w:r w:rsidRPr="007A51D3">
        <w:rPr>
          <w:rFonts w:ascii="Sylfaen" w:hAnsi="Sylfaen"/>
          <w:sz w:val="22"/>
          <w:szCs w:val="22"/>
          <w:lang w:val="ka-GE"/>
        </w:rPr>
        <w:t>მაქსიმალური, ერთი მხრივ, ამ მუხლის მე-4 პუნქტის „</w:t>
      </w:r>
      <w:r>
        <w:rPr>
          <w:rFonts w:ascii="Sylfaen" w:hAnsi="Sylfaen"/>
          <w:sz w:val="22"/>
          <w:szCs w:val="22"/>
          <w:lang w:val="ka-GE"/>
        </w:rPr>
        <w:t>გ</w:t>
      </w:r>
      <w:r w:rsidRPr="007A51D3">
        <w:rPr>
          <w:rFonts w:ascii="Sylfaen" w:hAnsi="Sylfaen"/>
          <w:sz w:val="22"/>
          <w:szCs w:val="22"/>
          <w:lang w:val="ka-GE"/>
        </w:rPr>
        <w:t>“ ქვეპუნქტის შესაბამისად დათვლილ რეზერვის მოცულობასა და ბანკის მიერ ფასს-ზე დაფუძნებული და საბალანსო უწყისისთვის დაანგარიშებული მე</w:t>
      </w:r>
      <w:r>
        <w:rPr>
          <w:rFonts w:ascii="Sylfaen" w:hAnsi="Sylfaen"/>
          <w:sz w:val="22"/>
          <w:szCs w:val="22"/>
          <w:lang w:val="ka-GE"/>
        </w:rPr>
        <w:t>-3</w:t>
      </w:r>
      <w:r w:rsidRPr="007A51D3">
        <w:rPr>
          <w:rFonts w:ascii="Sylfaen" w:hAnsi="Sylfaen"/>
          <w:sz w:val="22"/>
          <w:szCs w:val="22"/>
          <w:lang w:val="ka-GE"/>
        </w:rPr>
        <w:t xml:space="preserve"> დონის საკრედიტო რისკის კატეგორიაში კლასიფიცირებული</w:t>
      </w:r>
      <w:r w:rsidR="00C86609">
        <w:rPr>
          <w:rFonts w:ascii="Sylfaen" w:hAnsi="Sylfaen"/>
          <w:sz w:val="22"/>
          <w:szCs w:val="22"/>
        </w:rPr>
        <w:t xml:space="preserve"> </w:t>
      </w:r>
      <w:r w:rsidR="00C86609">
        <w:rPr>
          <w:rFonts w:ascii="Sylfaen" w:hAnsi="Sylfaen"/>
          <w:sz w:val="22"/>
          <w:szCs w:val="22"/>
          <w:lang w:val="ka-GE"/>
        </w:rPr>
        <w:t xml:space="preserve">და </w:t>
      </w:r>
      <w:r w:rsidR="00FD40BE" w:rsidRPr="00FD40BE">
        <w:rPr>
          <w:rFonts w:ascii="Sylfaen" w:hAnsi="Sylfaen"/>
          <w:sz w:val="22"/>
          <w:szCs w:val="22"/>
          <w:lang w:val="ka-GE"/>
        </w:rPr>
        <w:t xml:space="preserve">POCI სტატუსის მქონე </w:t>
      </w:r>
      <w:r w:rsidRPr="007A51D3">
        <w:rPr>
          <w:rFonts w:ascii="Sylfaen" w:hAnsi="Sylfaen"/>
          <w:sz w:val="22"/>
          <w:szCs w:val="22"/>
          <w:lang w:val="ka-GE"/>
        </w:rPr>
        <w:t>ფინანსური ინსტრუმენტების მოსალოდნელი საკრედიტო ზარალის მოცულობის სხვაობასა და მეორე მხრივ, ნულს შორის</w:t>
      </w:r>
      <w:r w:rsidR="008309FF">
        <w:rPr>
          <w:rFonts w:ascii="Sylfaen" w:hAnsi="Sylfaen"/>
          <w:sz w:val="22"/>
          <w:szCs w:val="22"/>
          <w:lang w:val="ka-GE"/>
        </w:rPr>
        <w:t>.</w:t>
      </w:r>
      <w:r w:rsidR="00596A5E">
        <w:rPr>
          <w:rFonts w:ascii="Sylfaen" w:hAnsi="Sylfaen"/>
          <w:sz w:val="22"/>
          <w:szCs w:val="22"/>
          <w:lang w:val="ka-GE"/>
        </w:rPr>
        <w:t>“</w:t>
      </w:r>
      <w:r w:rsidR="00624941">
        <w:rPr>
          <w:rFonts w:ascii="Sylfaen" w:hAnsi="Sylfaen"/>
          <w:sz w:val="22"/>
          <w:szCs w:val="22"/>
          <w:lang w:val="ka-GE"/>
        </w:rPr>
        <w:t>;</w:t>
      </w:r>
    </w:p>
    <w:p w14:paraId="3D4410B2" w14:textId="77777777" w:rsidR="00C57011" w:rsidRDefault="00C57011" w:rsidP="00596A5E">
      <w:pPr>
        <w:spacing w:before="120" w:after="120" w:line="276" w:lineRule="auto"/>
        <w:jc w:val="both"/>
        <w:divId w:val="1802768214"/>
        <w:rPr>
          <w:rFonts w:ascii="Sylfaen" w:hAnsi="Sylfaen"/>
          <w:sz w:val="22"/>
          <w:szCs w:val="22"/>
          <w:lang w:val="ka-GE"/>
        </w:rPr>
      </w:pPr>
    </w:p>
    <w:p w14:paraId="1A1BD43F" w14:textId="70B4EA8B" w:rsidR="001C6E0F" w:rsidRPr="00596A5E" w:rsidRDefault="00906281" w:rsidP="001C6E0F">
      <w:pPr>
        <w:spacing w:before="120" w:after="120"/>
        <w:jc w:val="both"/>
        <w:divId w:val="1802768214"/>
        <w:rPr>
          <w:rFonts w:ascii="Sylfaen" w:eastAsia="Times New Roman" w:hAnsi="Sylfaen"/>
          <w:b/>
          <w:sz w:val="22"/>
          <w:szCs w:val="22"/>
          <w:lang w:val="ka-GE"/>
        </w:rPr>
      </w:pPr>
      <w:r>
        <w:rPr>
          <w:rFonts w:ascii="Sylfaen" w:eastAsia="Times New Roman" w:hAnsi="Sylfaen"/>
          <w:b/>
          <w:sz w:val="22"/>
          <w:szCs w:val="22"/>
          <w:lang w:val="ka-GE"/>
        </w:rPr>
        <w:t xml:space="preserve">გ) </w:t>
      </w:r>
      <w:r w:rsidR="001C6E0F" w:rsidRPr="00596A5E">
        <w:rPr>
          <w:rFonts w:ascii="Sylfaen" w:hAnsi="Sylfaen"/>
          <w:b/>
          <w:sz w:val="22"/>
          <w:szCs w:val="22"/>
          <w:lang w:val="ka-GE"/>
        </w:rPr>
        <w:t>მე</w:t>
      </w:r>
      <w:r w:rsidR="001C6E0F">
        <w:rPr>
          <w:rFonts w:ascii="Sylfaen" w:hAnsi="Sylfaen"/>
          <w:b/>
          <w:sz w:val="22"/>
          <w:szCs w:val="22"/>
          <w:lang w:val="ka-GE"/>
        </w:rPr>
        <w:t>-9</w:t>
      </w:r>
      <w:r w:rsidR="001C6E0F" w:rsidRPr="00596A5E">
        <w:rPr>
          <w:rFonts w:ascii="Sylfaen" w:hAnsi="Sylfaen"/>
          <w:b/>
          <w:sz w:val="22"/>
          <w:szCs w:val="22"/>
          <w:lang w:val="ka-GE"/>
        </w:rPr>
        <w:t xml:space="preserve"> პუნქტი ჩამოყალიბდეს შემდეგი რედაქციით:</w:t>
      </w:r>
    </w:p>
    <w:p w14:paraId="40687F6E" w14:textId="1D254BE7" w:rsidR="00281EFE" w:rsidRPr="00A1006B" w:rsidRDefault="001C6E0F" w:rsidP="00281EFE">
      <w:pPr>
        <w:spacing w:before="120" w:line="276" w:lineRule="auto"/>
        <w:jc w:val="both"/>
        <w:divId w:val="1802768214"/>
        <w:rPr>
          <w:rFonts w:ascii="Sylfaen" w:hAnsi="Sylfaen" w:cstheme="minorHAnsi"/>
          <w:sz w:val="22"/>
          <w:szCs w:val="22"/>
          <w:lang w:val="ka-GE"/>
        </w:rPr>
      </w:pPr>
      <w:r>
        <w:rPr>
          <w:rFonts w:ascii="Sylfaen" w:hAnsi="Sylfaen"/>
          <w:sz w:val="22"/>
          <w:szCs w:val="22"/>
          <w:lang w:val="ka-GE"/>
        </w:rPr>
        <w:t>„</w:t>
      </w:r>
      <w:r w:rsidR="00A458A2" w:rsidRPr="00A1006B">
        <w:rPr>
          <w:rFonts w:ascii="Sylfaen" w:hAnsi="Sylfaen"/>
          <w:sz w:val="22"/>
          <w:szCs w:val="22"/>
          <w:lang w:val="ka-GE"/>
        </w:rPr>
        <w:t>9</w:t>
      </w:r>
      <w:r w:rsidR="00281EFE" w:rsidRPr="00A1006B">
        <w:rPr>
          <w:rFonts w:ascii="Sylfaen" w:hAnsi="Sylfaen"/>
          <w:sz w:val="22"/>
          <w:szCs w:val="22"/>
          <w:lang w:val="ka-GE"/>
        </w:rPr>
        <w:t xml:space="preserve">. საკრედიტო რისკის კორექტირების ბუფერის მეორე კომპონენტს წარმოადგენს </w:t>
      </w:r>
      <w:r w:rsidR="00281EFE" w:rsidRPr="00A1006B">
        <w:rPr>
          <w:rFonts w:ascii="Sylfaen" w:hAnsi="Sylfaen" w:cstheme="minorHAnsi"/>
          <w:sz w:val="22"/>
          <w:szCs w:val="22"/>
          <w:lang w:val="ka-GE"/>
        </w:rPr>
        <w:t xml:space="preserve">დასაკუთრებული  უძრავი ქონება და სხვა უძრავი ქონება, რაც წარსულში ბანკის შენობებად გამოიყენებოდა, თუმცა </w:t>
      </w:r>
      <w:r w:rsidR="00281EFE" w:rsidRPr="00A1006B">
        <w:rPr>
          <w:rFonts w:ascii="Sylfaen" w:eastAsia="Times New Roman" w:hAnsi="Sylfaen" w:cs="Sylfaen"/>
          <w:sz w:val="22"/>
          <w:szCs w:val="22"/>
        </w:rPr>
        <w:t>საკრედიტო</w:t>
      </w:r>
      <w:r w:rsidR="00281EFE" w:rsidRPr="00A1006B">
        <w:rPr>
          <w:rFonts w:ascii="Sylfaen" w:eastAsia="Times New Roman" w:hAnsi="Sylfaen"/>
          <w:sz w:val="22"/>
          <w:szCs w:val="22"/>
        </w:rPr>
        <w:t xml:space="preserve"> </w:t>
      </w:r>
      <w:r w:rsidR="00281EFE" w:rsidRPr="00A1006B">
        <w:rPr>
          <w:rFonts w:ascii="Sylfaen" w:eastAsia="Times New Roman" w:hAnsi="Sylfaen" w:cs="Sylfaen"/>
          <w:sz w:val="22"/>
          <w:szCs w:val="22"/>
        </w:rPr>
        <w:t>რისკის</w:t>
      </w:r>
      <w:r w:rsidR="00281EFE" w:rsidRPr="00A1006B">
        <w:rPr>
          <w:rFonts w:ascii="Sylfaen" w:eastAsia="Times New Roman" w:hAnsi="Sylfaen"/>
          <w:sz w:val="22"/>
          <w:szCs w:val="22"/>
        </w:rPr>
        <w:t xml:space="preserve"> </w:t>
      </w:r>
      <w:r w:rsidR="00281EFE" w:rsidRPr="00A1006B">
        <w:rPr>
          <w:rFonts w:ascii="Sylfaen" w:eastAsia="Times New Roman" w:hAnsi="Sylfaen" w:cs="Sylfaen"/>
          <w:sz w:val="22"/>
          <w:szCs w:val="22"/>
        </w:rPr>
        <w:t>კორექტირების</w:t>
      </w:r>
      <w:r w:rsidR="00281EFE" w:rsidRPr="00A1006B">
        <w:rPr>
          <w:rFonts w:ascii="Sylfaen" w:eastAsia="Times New Roman" w:hAnsi="Sylfaen"/>
          <w:sz w:val="22"/>
          <w:szCs w:val="22"/>
        </w:rPr>
        <w:t xml:space="preserve"> </w:t>
      </w:r>
      <w:r w:rsidR="00281EFE" w:rsidRPr="00A1006B">
        <w:rPr>
          <w:rFonts w:ascii="Sylfaen" w:hAnsi="Sylfaen" w:cstheme="minorHAnsi"/>
          <w:sz w:val="22"/>
          <w:szCs w:val="22"/>
          <w:lang w:val="ka-GE"/>
        </w:rPr>
        <w:t>ბუფერის დათვლის მომენტში ამ მიზნით აღარ გამოიყენება, შემდეგი ოდენობებით:</w:t>
      </w:r>
    </w:p>
    <w:p w14:paraId="03ED7176" w14:textId="12C14AFB" w:rsidR="00281EFE" w:rsidRPr="00A1006B" w:rsidRDefault="00281EFE" w:rsidP="00281EFE">
      <w:pPr>
        <w:spacing w:before="120" w:line="276" w:lineRule="auto"/>
        <w:jc w:val="both"/>
        <w:divId w:val="1802768214"/>
        <w:rPr>
          <w:rFonts w:ascii="Sylfaen" w:hAnsi="Sylfaen" w:cstheme="minorHAnsi"/>
          <w:sz w:val="22"/>
          <w:szCs w:val="22"/>
          <w:lang w:val="ka-GE"/>
        </w:rPr>
      </w:pPr>
      <w:r w:rsidRPr="00A1006B">
        <w:rPr>
          <w:rFonts w:ascii="Sylfaen" w:hAnsi="Sylfaen" w:cstheme="minorHAnsi"/>
          <w:sz w:val="22"/>
          <w:szCs w:val="22"/>
          <w:lang w:val="ka-GE"/>
        </w:rPr>
        <w:lastRenderedPageBreak/>
        <w:t xml:space="preserve">ა) უძრავი ქონების ღირებულების 30%-ის ოდენობით, დასაკუთრებული უძრავი ქონების შემთხვევაში, ბალანსზე აღრიცხვიდან ერთი წლის განმავლობაში, ხოლო სხვა </w:t>
      </w:r>
      <w:r w:rsidR="001C6E0F">
        <w:rPr>
          <w:rFonts w:ascii="Sylfaen" w:hAnsi="Sylfaen" w:cstheme="minorHAnsi"/>
          <w:sz w:val="22"/>
          <w:szCs w:val="22"/>
          <w:lang w:val="ka-GE"/>
        </w:rPr>
        <w:t xml:space="preserve">უძრავი </w:t>
      </w:r>
      <w:r w:rsidRPr="00A1006B">
        <w:rPr>
          <w:rFonts w:ascii="Sylfaen" w:hAnsi="Sylfaen" w:cstheme="minorHAnsi"/>
          <w:sz w:val="22"/>
          <w:szCs w:val="22"/>
          <w:lang w:val="ka-GE"/>
        </w:rPr>
        <w:t>ქონების შემთხვევაში</w:t>
      </w:r>
      <w:r w:rsidR="00FA4B11">
        <w:rPr>
          <w:rFonts w:ascii="Sylfaen" w:hAnsi="Sylfaen" w:cstheme="minorHAnsi"/>
          <w:sz w:val="22"/>
          <w:szCs w:val="22"/>
        </w:rPr>
        <w:t xml:space="preserve"> -</w:t>
      </w:r>
      <w:r w:rsidRPr="00A1006B">
        <w:rPr>
          <w:rFonts w:ascii="Sylfaen" w:hAnsi="Sylfaen" w:cstheme="minorHAnsi"/>
          <w:sz w:val="22"/>
          <w:szCs w:val="22"/>
          <w:lang w:val="ka-GE"/>
        </w:rPr>
        <w:t xml:space="preserve"> მათი ბანკის შენობებად გამოუყენებლობის მომენტიდან ერთი წლის განმავლობაში;</w:t>
      </w:r>
    </w:p>
    <w:p w14:paraId="47266ED1" w14:textId="365ED88E" w:rsidR="00281EFE" w:rsidRPr="00A1006B" w:rsidRDefault="00281EFE" w:rsidP="00281EFE">
      <w:pPr>
        <w:spacing w:before="120" w:line="276" w:lineRule="auto"/>
        <w:jc w:val="both"/>
        <w:divId w:val="1802768214"/>
        <w:rPr>
          <w:rFonts w:ascii="Sylfaen" w:hAnsi="Sylfaen" w:cstheme="minorHAnsi"/>
          <w:sz w:val="22"/>
          <w:szCs w:val="22"/>
          <w:lang w:val="ka-GE"/>
        </w:rPr>
      </w:pPr>
      <w:r w:rsidRPr="00A1006B">
        <w:rPr>
          <w:rFonts w:ascii="Sylfaen" w:hAnsi="Sylfaen" w:cstheme="minorHAnsi"/>
          <w:sz w:val="22"/>
          <w:szCs w:val="22"/>
          <w:lang w:val="ka-GE"/>
        </w:rPr>
        <w:t xml:space="preserve">ბ) უძრავი ქონების ღირებულების 50%-ის ოდენობით, დასაკუთრებეული უძრავი ქონების შემთხვევაში - თუ ქონების ბანკის ბალანსზე აღრიცხვიდან გასულია არანაკლებ ერთი წელი და არაუმეტეს სამი წელი, ხოლო სხვა </w:t>
      </w:r>
      <w:r w:rsidR="001C6E0F">
        <w:rPr>
          <w:rFonts w:ascii="Sylfaen" w:hAnsi="Sylfaen" w:cstheme="minorHAnsi"/>
          <w:sz w:val="22"/>
          <w:szCs w:val="22"/>
          <w:lang w:val="ka-GE"/>
        </w:rPr>
        <w:t xml:space="preserve">უძრავი </w:t>
      </w:r>
      <w:r w:rsidRPr="00A1006B">
        <w:rPr>
          <w:rFonts w:ascii="Sylfaen" w:hAnsi="Sylfaen" w:cstheme="minorHAnsi"/>
          <w:sz w:val="22"/>
          <w:szCs w:val="22"/>
          <w:lang w:val="ka-GE"/>
        </w:rPr>
        <w:t>ქონების შემთხვევაში - მათი ბანკის შენობებად გამოუყენებლობის მომენტიდან გასულია არანაკლებ ერთი წელი და არაუმეტეს სამი წელი;</w:t>
      </w:r>
    </w:p>
    <w:p w14:paraId="2876358C" w14:textId="18EE97CD" w:rsidR="00281EFE" w:rsidRDefault="00281EFE" w:rsidP="00281EFE">
      <w:pPr>
        <w:spacing w:before="120" w:line="276" w:lineRule="auto"/>
        <w:jc w:val="both"/>
        <w:divId w:val="1802768214"/>
        <w:rPr>
          <w:rFonts w:ascii="Sylfaen" w:hAnsi="Sylfaen" w:cstheme="minorHAnsi"/>
          <w:sz w:val="22"/>
          <w:szCs w:val="22"/>
          <w:lang w:val="ka-GE"/>
        </w:rPr>
      </w:pPr>
      <w:r w:rsidRPr="00A1006B">
        <w:rPr>
          <w:rFonts w:ascii="Sylfaen" w:hAnsi="Sylfaen" w:cstheme="minorHAnsi"/>
          <w:sz w:val="22"/>
          <w:szCs w:val="22"/>
          <w:lang w:val="ka-GE"/>
        </w:rPr>
        <w:t xml:space="preserve">გ) უძრავი ქონების ღირებულების 100%-ის ოდენობით, დასაკუთრებული უძრავი ქონების შემთხვევაში - თუ ქონების ბანკის ბალანსზე აღრიცხვიდან გასულია სულ მცირე სამი წელი, ხოლო სხვა </w:t>
      </w:r>
      <w:r w:rsidR="001C6E0F">
        <w:rPr>
          <w:rFonts w:ascii="Sylfaen" w:hAnsi="Sylfaen" w:cstheme="minorHAnsi"/>
          <w:sz w:val="22"/>
          <w:szCs w:val="22"/>
          <w:lang w:val="ka-GE"/>
        </w:rPr>
        <w:t xml:space="preserve">უძრავი </w:t>
      </w:r>
      <w:r w:rsidRPr="00A1006B">
        <w:rPr>
          <w:rFonts w:ascii="Sylfaen" w:hAnsi="Sylfaen" w:cstheme="minorHAnsi"/>
          <w:sz w:val="22"/>
          <w:szCs w:val="22"/>
          <w:lang w:val="ka-GE"/>
        </w:rPr>
        <w:t>ქონების შემთხვევაში - მათი ბანკის შენობებად გამოუყენებლობის მომენტიდან გასულია სულ მცირე სამი წელი.</w:t>
      </w:r>
      <w:r w:rsidR="003F521C" w:rsidRPr="00A1006B">
        <w:rPr>
          <w:rFonts w:ascii="Sylfaen" w:hAnsi="Sylfaen" w:cstheme="minorHAnsi"/>
          <w:sz w:val="22"/>
          <w:szCs w:val="22"/>
          <w:lang w:val="ka-GE"/>
        </w:rPr>
        <w:t>“.</w:t>
      </w:r>
    </w:p>
    <w:p w14:paraId="14424394" w14:textId="77777777" w:rsidR="00B01E1D" w:rsidRDefault="00B01E1D" w:rsidP="00281EFE">
      <w:pPr>
        <w:spacing w:before="120" w:line="276" w:lineRule="auto"/>
        <w:jc w:val="both"/>
        <w:divId w:val="1802768214"/>
        <w:rPr>
          <w:rFonts w:ascii="Sylfaen" w:hAnsi="Sylfaen" w:cstheme="minorHAnsi"/>
          <w:sz w:val="22"/>
          <w:szCs w:val="22"/>
          <w:lang w:val="ka-GE"/>
        </w:rPr>
      </w:pPr>
    </w:p>
    <w:p w14:paraId="29D68521" w14:textId="7DF7D0FD" w:rsidR="001C6E0F" w:rsidRPr="00596A5E" w:rsidRDefault="006F3B9C" w:rsidP="001C6E0F">
      <w:pPr>
        <w:spacing w:before="120" w:after="120"/>
        <w:jc w:val="both"/>
        <w:divId w:val="1802768214"/>
        <w:rPr>
          <w:rFonts w:ascii="Sylfaen" w:eastAsia="Times New Roman" w:hAnsi="Sylfaen"/>
          <w:b/>
          <w:sz w:val="22"/>
          <w:szCs w:val="22"/>
          <w:lang w:val="ka-GE"/>
        </w:rPr>
      </w:pPr>
      <w:r>
        <w:rPr>
          <w:rFonts w:ascii="Sylfaen" w:eastAsia="Times New Roman" w:hAnsi="Sylfaen"/>
          <w:b/>
          <w:sz w:val="22"/>
          <w:szCs w:val="22"/>
          <w:lang w:val="ka-GE"/>
        </w:rPr>
        <w:t>3.</w:t>
      </w:r>
      <w:r w:rsidR="00FD1CC4">
        <w:rPr>
          <w:rFonts w:ascii="Sylfaen" w:eastAsia="Times New Roman" w:hAnsi="Sylfaen"/>
          <w:b/>
          <w:sz w:val="22"/>
          <w:szCs w:val="22"/>
        </w:rPr>
        <w:t xml:space="preserve"> </w:t>
      </w:r>
      <w:r w:rsidR="001C6E0F" w:rsidRPr="00596A5E">
        <w:rPr>
          <w:rFonts w:ascii="Sylfaen" w:hAnsi="Sylfaen"/>
          <w:b/>
          <w:sz w:val="22"/>
          <w:szCs w:val="22"/>
          <w:lang w:val="ka-GE"/>
        </w:rPr>
        <w:t>6</w:t>
      </w:r>
      <w:r w:rsidR="001C6E0F" w:rsidRPr="00596A5E">
        <w:rPr>
          <w:rFonts w:ascii="Sylfaen" w:hAnsi="Sylfaen"/>
          <w:b/>
          <w:sz w:val="22"/>
          <w:szCs w:val="22"/>
          <w:vertAlign w:val="superscript"/>
          <w:lang w:val="ka-GE"/>
        </w:rPr>
        <w:t>1</w:t>
      </w:r>
      <w:r w:rsidR="001C6E0F" w:rsidRPr="00596A5E">
        <w:rPr>
          <w:rFonts w:ascii="Sylfaen" w:hAnsi="Sylfaen"/>
          <w:b/>
          <w:sz w:val="22"/>
          <w:szCs w:val="22"/>
          <w:lang w:val="ka-GE"/>
        </w:rPr>
        <w:t xml:space="preserve"> მუხლს </w:t>
      </w:r>
      <w:r>
        <w:rPr>
          <w:rFonts w:ascii="Sylfaen" w:eastAsia="Times New Roman" w:hAnsi="Sylfaen"/>
          <w:b/>
          <w:sz w:val="22"/>
          <w:szCs w:val="22"/>
          <w:lang w:val="ka-GE"/>
        </w:rPr>
        <w:t xml:space="preserve">დაემატოს </w:t>
      </w:r>
      <w:r w:rsidR="00624941">
        <w:rPr>
          <w:rFonts w:ascii="Sylfaen" w:eastAsia="Times New Roman" w:hAnsi="Sylfaen"/>
          <w:b/>
          <w:sz w:val="22"/>
          <w:szCs w:val="22"/>
          <w:lang w:val="ka-GE"/>
        </w:rPr>
        <w:t xml:space="preserve">შემდეგი შინაარსის </w:t>
      </w:r>
      <w:r w:rsidR="001C6E0F" w:rsidRPr="00596A5E">
        <w:rPr>
          <w:rFonts w:ascii="Sylfaen" w:hAnsi="Sylfaen"/>
          <w:b/>
          <w:sz w:val="22"/>
          <w:szCs w:val="22"/>
          <w:lang w:val="ka-GE"/>
        </w:rPr>
        <w:t>მე</w:t>
      </w:r>
      <w:r w:rsidR="001C6E0F">
        <w:rPr>
          <w:rFonts w:ascii="Sylfaen" w:hAnsi="Sylfaen"/>
          <w:b/>
          <w:sz w:val="22"/>
          <w:szCs w:val="22"/>
          <w:lang w:val="ka-GE"/>
        </w:rPr>
        <w:t xml:space="preserve">-10 </w:t>
      </w:r>
      <w:r w:rsidR="001C6E0F" w:rsidRPr="00596A5E">
        <w:rPr>
          <w:rFonts w:ascii="Sylfaen" w:hAnsi="Sylfaen"/>
          <w:b/>
          <w:sz w:val="22"/>
          <w:szCs w:val="22"/>
          <w:lang w:val="ka-GE"/>
        </w:rPr>
        <w:t>პუნქტი:</w:t>
      </w:r>
    </w:p>
    <w:p w14:paraId="3ABAC2F8" w14:textId="27197C36" w:rsidR="001C6E0F" w:rsidRPr="00A1006B" w:rsidRDefault="001C6E0F" w:rsidP="00281EFE">
      <w:pPr>
        <w:spacing w:before="120" w:line="276" w:lineRule="auto"/>
        <w:jc w:val="both"/>
        <w:divId w:val="1802768214"/>
        <w:rPr>
          <w:rFonts w:ascii="Sylfaen" w:hAnsi="Sylfaen" w:cstheme="minorHAnsi"/>
          <w:sz w:val="22"/>
          <w:szCs w:val="22"/>
          <w:lang w:val="ka-GE"/>
        </w:rPr>
      </w:pPr>
      <w:r>
        <w:rPr>
          <w:rFonts w:ascii="Sylfaen" w:hAnsi="Sylfaen" w:cstheme="minorHAnsi"/>
          <w:sz w:val="22"/>
          <w:szCs w:val="22"/>
          <w:lang w:val="ka-GE"/>
        </w:rPr>
        <w:t>„</w:t>
      </w:r>
      <w:r w:rsidRPr="001C6E0F">
        <w:rPr>
          <w:rFonts w:ascii="Sylfaen" w:hAnsi="Sylfaen" w:cstheme="minorHAnsi"/>
          <w:sz w:val="22"/>
          <w:szCs w:val="22"/>
          <w:lang w:val="ka-GE"/>
        </w:rPr>
        <w:t xml:space="preserve">10. საკრედიტო რისკის კორექტირების ბუფერის მესამე კომპონენტს წარმოადგენს </w:t>
      </w:r>
      <w:bookmarkStart w:id="7" w:name="OLE_LINK1"/>
      <w:bookmarkStart w:id="8" w:name="OLE_LINK2"/>
      <w:r w:rsidRPr="001C6E0F">
        <w:rPr>
          <w:rFonts w:ascii="Sylfaen" w:hAnsi="Sylfaen" w:cstheme="minorHAnsi"/>
          <w:sz w:val="22"/>
          <w:szCs w:val="22"/>
          <w:lang w:val="ka-GE"/>
        </w:rPr>
        <w:t>საზედამხედველო პროცესში ეროვნული ბანკის შეფასების შესაბამისად გამოვლენილი სხვა საზედამხედველო კორექტირებები</w:t>
      </w:r>
      <w:r w:rsidR="005C1B0F">
        <w:rPr>
          <w:rFonts w:ascii="Sylfaen" w:hAnsi="Sylfaen" w:cstheme="minorHAnsi"/>
          <w:sz w:val="22"/>
          <w:szCs w:val="22"/>
          <w:lang w:val="ka-GE"/>
        </w:rPr>
        <w:t>.</w:t>
      </w:r>
      <w:r w:rsidRPr="001C6E0F">
        <w:rPr>
          <w:rFonts w:ascii="Sylfaen" w:hAnsi="Sylfaen" w:cstheme="minorHAnsi"/>
          <w:sz w:val="22"/>
          <w:szCs w:val="22"/>
          <w:lang w:val="ka-GE"/>
        </w:rPr>
        <w:t xml:space="preserve"> </w:t>
      </w:r>
      <w:bookmarkEnd w:id="7"/>
      <w:bookmarkEnd w:id="8"/>
      <w:r w:rsidRPr="001C6E0F">
        <w:rPr>
          <w:rFonts w:ascii="Sylfaen" w:hAnsi="Sylfaen" w:cstheme="minorHAnsi"/>
          <w:sz w:val="22"/>
          <w:szCs w:val="22"/>
          <w:lang w:val="ka-GE"/>
        </w:rPr>
        <w:t>აღნიშნული საზედამხედველო კორექტირებები</w:t>
      </w:r>
      <w:r w:rsidR="00FA4B11">
        <w:rPr>
          <w:rFonts w:ascii="Sylfaen" w:hAnsi="Sylfaen" w:cstheme="minorHAnsi"/>
          <w:sz w:val="22"/>
          <w:szCs w:val="22"/>
        </w:rPr>
        <w:t>,</w:t>
      </w:r>
      <w:r w:rsidRPr="001C6E0F">
        <w:rPr>
          <w:rFonts w:ascii="Sylfaen" w:hAnsi="Sylfaen" w:cstheme="minorHAnsi"/>
          <w:sz w:val="22"/>
          <w:szCs w:val="22"/>
          <w:lang w:val="ka-GE"/>
        </w:rPr>
        <w:t xml:space="preserve"> მათ შორის</w:t>
      </w:r>
      <w:r w:rsidR="00920431">
        <w:rPr>
          <w:rFonts w:ascii="Sylfaen" w:hAnsi="Sylfaen" w:cstheme="minorHAnsi"/>
          <w:sz w:val="22"/>
          <w:szCs w:val="22"/>
          <w:lang w:val="ka-GE"/>
        </w:rPr>
        <w:t>,</w:t>
      </w:r>
      <w:r w:rsidRPr="001C6E0F">
        <w:rPr>
          <w:rFonts w:ascii="Sylfaen" w:hAnsi="Sylfaen" w:cstheme="minorHAnsi"/>
          <w:sz w:val="22"/>
          <w:szCs w:val="22"/>
          <w:lang w:val="ka-GE"/>
        </w:rPr>
        <w:t xml:space="preserve"> მოიცავს, მაგრამ არ შემოიფარგლება, ფინანსური ინსტრუმენტებისთვის გამოვლენილ არასაკმარის მოსალოდნელ საკრედიტო ზარალს, ინვესტიციების, დასაკუთრებული და სხვა უძრავი თუ მოძრავი ქონების  გაუფასურებას.</w:t>
      </w:r>
      <w:r>
        <w:rPr>
          <w:rFonts w:ascii="Sylfaen" w:hAnsi="Sylfaen" w:cstheme="minorHAnsi"/>
          <w:sz w:val="22"/>
          <w:szCs w:val="22"/>
          <w:lang w:val="ka-GE"/>
        </w:rPr>
        <w:t>“.</w:t>
      </w:r>
    </w:p>
    <w:p w14:paraId="59E25B36" w14:textId="77777777" w:rsidR="00102E04" w:rsidRPr="00A1006B" w:rsidRDefault="00102E04">
      <w:pPr>
        <w:spacing w:before="120" w:line="276" w:lineRule="auto"/>
        <w:jc w:val="both"/>
        <w:divId w:val="1802768214"/>
        <w:rPr>
          <w:rFonts w:ascii="Sylfaen" w:hAnsi="Sylfaen" w:cs="Sylfaen"/>
          <w:sz w:val="22"/>
          <w:szCs w:val="22"/>
          <w:lang w:val="ka-GE"/>
        </w:rPr>
      </w:pPr>
    </w:p>
    <w:p w14:paraId="2E81FA45" w14:textId="17BEF8AA" w:rsidR="00102E04" w:rsidRDefault="006F3B9C" w:rsidP="00102E04">
      <w:pPr>
        <w:spacing w:line="276" w:lineRule="auto"/>
        <w:contextualSpacing/>
        <w:jc w:val="both"/>
        <w:divId w:val="1802768214"/>
        <w:rPr>
          <w:rFonts w:ascii="Sylfaen" w:hAnsi="Sylfaen" w:cs="Sylfaen"/>
          <w:b/>
          <w:sz w:val="22"/>
          <w:szCs w:val="22"/>
          <w:lang w:val="ka-GE"/>
        </w:rPr>
      </w:pPr>
      <w:r>
        <w:rPr>
          <w:rFonts w:ascii="Sylfaen" w:hAnsi="Sylfaen" w:cs="Sylfaen"/>
          <w:b/>
          <w:sz w:val="22"/>
          <w:szCs w:val="22"/>
          <w:lang w:val="ka-GE"/>
        </w:rPr>
        <w:t>4</w:t>
      </w:r>
      <w:r w:rsidR="00102E04" w:rsidRPr="00A1006B">
        <w:rPr>
          <w:rFonts w:ascii="Sylfaen" w:hAnsi="Sylfaen" w:cs="Sylfaen"/>
          <w:b/>
          <w:sz w:val="22"/>
          <w:szCs w:val="22"/>
          <w:lang w:val="ka-GE"/>
        </w:rPr>
        <w:t>. მე</w:t>
      </w:r>
      <w:r w:rsidR="001C6E0F">
        <w:rPr>
          <w:rFonts w:ascii="Sylfaen" w:hAnsi="Sylfaen" w:cs="Sylfaen"/>
          <w:b/>
          <w:sz w:val="22"/>
          <w:szCs w:val="22"/>
          <w:lang w:val="ka-GE"/>
        </w:rPr>
        <w:t>-7</w:t>
      </w:r>
      <w:r w:rsidR="00102E04" w:rsidRPr="00A1006B">
        <w:rPr>
          <w:rFonts w:ascii="Sylfaen" w:hAnsi="Sylfaen" w:cs="Sylfaen"/>
          <w:b/>
          <w:sz w:val="22"/>
          <w:szCs w:val="22"/>
          <w:lang w:val="ka-GE"/>
        </w:rPr>
        <w:t xml:space="preserve"> მუხლის მე</w:t>
      </w:r>
      <w:r w:rsidR="001C6E0F">
        <w:rPr>
          <w:rFonts w:ascii="Sylfaen" w:hAnsi="Sylfaen" w:cs="Sylfaen"/>
          <w:b/>
          <w:sz w:val="22"/>
          <w:szCs w:val="22"/>
          <w:lang w:val="ka-GE"/>
        </w:rPr>
        <w:t>-6</w:t>
      </w:r>
      <w:r w:rsidR="00102E04" w:rsidRPr="00A1006B">
        <w:rPr>
          <w:rFonts w:ascii="Sylfaen" w:hAnsi="Sylfaen" w:cs="Sylfaen"/>
          <w:b/>
          <w:sz w:val="22"/>
          <w:szCs w:val="22"/>
          <w:lang w:val="ka-GE"/>
        </w:rPr>
        <w:t xml:space="preserve"> პუნქტი ჩამოყალიბდეს შემდეგი რედაქციით:</w:t>
      </w:r>
    </w:p>
    <w:p w14:paraId="220B8A40" w14:textId="4D9975BC" w:rsidR="001C6E0F" w:rsidRDefault="001C6E0F" w:rsidP="00102E04">
      <w:pPr>
        <w:spacing w:line="276" w:lineRule="auto"/>
        <w:contextualSpacing/>
        <w:jc w:val="both"/>
        <w:divId w:val="1802768214"/>
        <w:rPr>
          <w:rFonts w:ascii="Sylfaen" w:hAnsi="Sylfaen" w:cstheme="minorHAnsi"/>
          <w:sz w:val="22"/>
          <w:szCs w:val="22"/>
          <w:lang w:val="ka-GE"/>
        </w:rPr>
      </w:pPr>
      <w:r w:rsidRPr="001C6E0F">
        <w:rPr>
          <w:rFonts w:ascii="Sylfaen" w:hAnsi="Sylfaen" w:cstheme="minorHAnsi"/>
          <w:sz w:val="22"/>
          <w:szCs w:val="22"/>
          <w:lang w:val="ka-GE"/>
        </w:rPr>
        <w:t>„</w:t>
      </w:r>
      <w:r>
        <w:rPr>
          <w:rFonts w:ascii="Sylfaen" w:hAnsi="Sylfaen" w:cstheme="minorHAnsi"/>
          <w:sz w:val="22"/>
          <w:szCs w:val="22"/>
          <w:lang w:val="ka-GE"/>
        </w:rPr>
        <w:t>6.</w:t>
      </w:r>
      <w:r w:rsidR="006F3B9C">
        <w:rPr>
          <w:rFonts w:ascii="Sylfaen" w:hAnsi="Sylfaen" w:cstheme="minorHAnsi"/>
          <w:sz w:val="22"/>
          <w:szCs w:val="22"/>
          <w:lang w:val="ka-GE"/>
        </w:rPr>
        <w:t xml:space="preserve"> </w:t>
      </w:r>
      <w:r w:rsidRPr="001C6E0F">
        <w:rPr>
          <w:rFonts w:ascii="Sylfaen" w:hAnsi="Sylfaen" w:cstheme="minorHAnsi"/>
          <w:sz w:val="22"/>
          <w:szCs w:val="22"/>
          <w:lang w:val="ka-GE"/>
        </w:rPr>
        <w:t>წმინდა სტრეს-ტესტების ბუფერის განსაზღვრის მიზნით, საზედამხედველო სტრეს-ტესტების შედეგად მიღებული კაპიტალი</w:t>
      </w:r>
      <w:r>
        <w:rPr>
          <w:rFonts w:ascii="Sylfaen" w:hAnsi="Sylfaen" w:cstheme="minorHAnsi"/>
          <w:sz w:val="22"/>
          <w:szCs w:val="22"/>
          <w:lang w:val="ka-GE"/>
        </w:rPr>
        <w:t>ს</w:t>
      </w:r>
      <w:r w:rsidRPr="001C6E0F">
        <w:rPr>
          <w:rFonts w:ascii="Sylfaen" w:hAnsi="Sylfaen" w:cstheme="minorHAnsi"/>
          <w:sz w:val="22"/>
          <w:szCs w:val="22"/>
          <w:lang w:val="ka-GE"/>
        </w:rPr>
        <w:t xml:space="preserve"> ბუფერიდან უნდა დაიქვითოს პილარ 1-ის კონსერვაციისა და კონტრციკლური ბუფერები, ასევე პილარ 2-ის ბუფერების</w:t>
      </w:r>
      <w:r>
        <w:rPr>
          <w:rFonts w:ascii="Sylfaen" w:hAnsi="Sylfaen" w:cstheme="minorHAnsi"/>
          <w:sz w:val="22"/>
          <w:szCs w:val="22"/>
          <w:lang w:val="ka-GE"/>
        </w:rPr>
        <w:t xml:space="preserve"> </w:t>
      </w:r>
      <w:r w:rsidRPr="001C6E0F">
        <w:rPr>
          <w:rFonts w:ascii="Sylfaen" w:hAnsi="Sylfaen" w:cstheme="minorHAnsi"/>
          <w:sz w:val="22"/>
          <w:szCs w:val="22"/>
          <w:lang w:val="ka-GE"/>
        </w:rPr>
        <w:t>დაქვითვადი ნაწილები, მათ შორის, არაჰეჯირებული სავალუტო საკრედიტო რისკის ბუფერის ერთი მესამედი.</w:t>
      </w:r>
      <w:r>
        <w:rPr>
          <w:rFonts w:ascii="Sylfaen" w:hAnsi="Sylfaen" w:cstheme="minorHAnsi"/>
          <w:sz w:val="22"/>
          <w:szCs w:val="22"/>
          <w:lang w:val="ka-GE"/>
        </w:rPr>
        <w:t xml:space="preserve">“. </w:t>
      </w:r>
    </w:p>
    <w:p w14:paraId="134689E9" w14:textId="1425769B" w:rsidR="00C86609" w:rsidRDefault="00C86609" w:rsidP="00102E04">
      <w:pPr>
        <w:spacing w:line="276" w:lineRule="auto"/>
        <w:contextualSpacing/>
        <w:jc w:val="both"/>
        <w:divId w:val="1802768214"/>
        <w:rPr>
          <w:rFonts w:ascii="Sylfaen" w:hAnsi="Sylfaen" w:cstheme="minorHAnsi"/>
          <w:sz w:val="22"/>
          <w:szCs w:val="22"/>
          <w:lang w:val="ka-GE"/>
        </w:rPr>
      </w:pPr>
    </w:p>
    <w:p w14:paraId="7C43CC4E" w14:textId="479CEF22" w:rsidR="00C86609" w:rsidRDefault="00C86609" w:rsidP="00102E04">
      <w:pPr>
        <w:spacing w:line="276" w:lineRule="auto"/>
        <w:contextualSpacing/>
        <w:jc w:val="both"/>
        <w:divId w:val="1802768214"/>
        <w:rPr>
          <w:rFonts w:ascii="Sylfaen" w:hAnsi="Sylfaen" w:cs="Sylfaen"/>
          <w:b/>
          <w:sz w:val="22"/>
          <w:szCs w:val="22"/>
          <w:lang w:val="ka-GE"/>
        </w:rPr>
      </w:pPr>
      <w:r w:rsidRPr="00C86609">
        <w:rPr>
          <w:rFonts w:ascii="Sylfaen" w:hAnsi="Sylfaen" w:cs="Sylfaen"/>
          <w:b/>
          <w:sz w:val="22"/>
          <w:szCs w:val="22"/>
          <w:lang w:val="ka-GE"/>
        </w:rPr>
        <w:t xml:space="preserve">5. მე-7 მუხლს დაემატოს </w:t>
      </w:r>
      <w:r w:rsidR="003C59C1">
        <w:rPr>
          <w:rFonts w:ascii="Sylfaen" w:hAnsi="Sylfaen" w:cs="Sylfaen"/>
          <w:b/>
          <w:sz w:val="22"/>
          <w:szCs w:val="22"/>
          <w:lang w:val="ka-GE"/>
        </w:rPr>
        <w:t xml:space="preserve">შემდეგი შინაარსის </w:t>
      </w:r>
      <w:r w:rsidRPr="00C86609">
        <w:rPr>
          <w:rFonts w:ascii="Sylfaen" w:hAnsi="Sylfaen" w:cs="Sylfaen"/>
          <w:b/>
          <w:sz w:val="22"/>
          <w:szCs w:val="22"/>
          <w:lang w:val="ka-GE"/>
        </w:rPr>
        <w:t>მე-8 პუნქტი:</w:t>
      </w:r>
    </w:p>
    <w:p w14:paraId="27F0D86B" w14:textId="6C617F00" w:rsidR="00C86609" w:rsidRPr="005A04CE" w:rsidRDefault="00C86609" w:rsidP="00FD40BE">
      <w:pPr>
        <w:spacing w:line="276" w:lineRule="auto"/>
        <w:contextualSpacing/>
        <w:jc w:val="both"/>
        <w:divId w:val="1802768214"/>
        <w:rPr>
          <w:rFonts w:ascii="Sylfaen" w:hAnsi="Sylfaen"/>
          <w:sz w:val="22"/>
          <w:szCs w:val="22"/>
          <w:lang w:val="ka-GE"/>
        </w:rPr>
      </w:pPr>
      <w:r w:rsidRPr="005A04CE">
        <w:rPr>
          <w:rFonts w:ascii="Sylfaen" w:hAnsi="Sylfaen" w:cs="Sylfaen"/>
          <w:sz w:val="22"/>
          <w:szCs w:val="22"/>
          <w:lang w:val="ka-GE"/>
        </w:rPr>
        <w:t>„8.</w:t>
      </w:r>
      <w:r>
        <w:rPr>
          <w:rFonts w:ascii="Sylfaen" w:hAnsi="Sylfaen" w:cs="Sylfaen"/>
          <w:b/>
          <w:sz w:val="22"/>
          <w:szCs w:val="22"/>
          <w:lang w:val="ka-GE"/>
        </w:rPr>
        <w:t xml:space="preserve"> </w:t>
      </w:r>
      <w:r w:rsidR="00FD40BE" w:rsidRPr="00FD40BE">
        <w:rPr>
          <w:rFonts w:ascii="Sylfaen" w:hAnsi="Sylfaen"/>
          <w:sz w:val="22"/>
          <w:szCs w:val="22"/>
          <w:lang w:val="ka-GE"/>
        </w:rPr>
        <w:t xml:space="preserve">ბანკებმა </w:t>
      </w:r>
      <w:r w:rsidR="00FD40BE">
        <w:rPr>
          <w:rFonts w:ascii="Sylfaen" w:hAnsi="Sylfaen"/>
          <w:sz w:val="22"/>
          <w:szCs w:val="22"/>
          <w:lang w:val="ka-GE"/>
        </w:rPr>
        <w:t>წმინდა სტრეს-ტესტების</w:t>
      </w:r>
      <w:r w:rsidR="00FD40BE" w:rsidRPr="00FD40BE">
        <w:rPr>
          <w:rFonts w:ascii="Sylfaen" w:hAnsi="Sylfaen"/>
          <w:sz w:val="22"/>
          <w:szCs w:val="22"/>
          <w:lang w:val="ka-GE"/>
        </w:rPr>
        <w:t xml:space="preserve"> ბუფერის მოთხოვნა უნდა დაიცვან</w:t>
      </w:r>
      <w:r w:rsidR="00FD40BE">
        <w:rPr>
          <w:rFonts w:ascii="Sylfaen" w:hAnsi="Sylfaen"/>
          <w:sz w:val="22"/>
          <w:szCs w:val="22"/>
          <w:lang w:val="ka-GE"/>
        </w:rPr>
        <w:t xml:space="preserve"> წმინდა სტრეს-ტესტების ბუფერის </w:t>
      </w:r>
      <w:r w:rsidR="00FD40BE" w:rsidRPr="00FD40BE">
        <w:rPr>
          <w:rFonts w:ascii="Sylfaen" w:hAnsi="Sylfaen"/>
          <w:sz w:val="22"/>
          <w:szCs w:val="22"/>
          <w:lang w:val="ka-GE"/>
        </w:rPr>
        <w:t>განაკვეთის ზრდის შემთხვევაში მისი გაზრდიდან</w:t>
      </w:r>
      <w:r w:rsidR="00FD40BE">
        <w:rPr>
          <w:rFonts w:ascii="Sylfaen" w:hAnsi="Sylfaen"/>
          <w:sz w:val="22"/>
          <w:szCs w:val="22"/>
          <w:lang w:val="ka-GE"/>
        </w:rPr>
        <w:t xml:space="preserve"> ერთი</w:t>
      </w:r>
      <w:r w:rsidR="00FD40BE" w:rsidRPr="00FD40BE">
        <w:rPr>
          <w:rFonts w:ascii="Sylfaen" w:hAnsi="Sylfaen"/>
          <w:sz w:val="22"/>
          <w:szCs w:val="22"/>
          <w:lang w:val="ka-GE"/>
        </w:rPr>
        <w:t xml:space="preserve"> წლის</w:t>
      </w:r>
      <w:r w:rsidR="00FD40BE">
        <w:rPr>
          <w:rFonts w:ascii="Sylfaen" w:hAnsi="Sylfaen"/>
          <w:sz w:val="22"/>
          <w:szCs w:val="22"/>
          <w:lang w:val="ka-GE"/>
        </w:rPr>
        <w:t xml:space="preserve"> </w:t>
      </w:r>
      <w:r w:rsidR="00FD40BE" w:rsidRPr="00FD40BE">
        <w:rPr>
          <w:rFonts w:ascii="Sylfaen" w:hAnsi="Sylfaen"/>
          <w:sz w:val="22"/>
          <w:szCs w:val="22"/>
          <w:lang w:val="ka-GE"/>
        </w:rPr>
        <w:t>ვადაში, ხოლო შემცირების შემთხვევაში – დაუყოვნებლივ. განსაკუთრებულ შემთხვევებში</w:t>
      </w:r>
      <w:r w:rsidR="00FD40BE">
        <w:rPr>
          <w:rFonts w:ascii="Sylfaen" w:hAnsi="Sylfaen"/>
          <w:sz w:val="22"/>
          <w:szCs w:val="22"/>
          <w:lang w:val="ka-GE"/>
        </w:rPr>
        <w:t>,</w:t>
      </w:r>
      <w:r w:rsidR="00FD40BE" w:rsidRPr="00FD40BE">
        <w:rPr>
          <w:rFonts w:ascii="Sylfaen" w:hAnsi="Sylfaen"/>
          <w:sz w:val="22"/>
          <w:szCs w:val="22"/>
          <w:lang w:val="ka-GE"/>
        </w:rPr>
        <w:t xml:space="preserve"> შესაძლებელია გაზრდილი</w:t>
      </w:r>
      <w:r w:rsidR="00FD40BE">
        <w:rPr>
          <w:rFonts w:ascii="Sylfaen" w:hAnsi="Sylfaen"/>
          <w:sz w:val="22"/>
          <w:szCs w:val="22"/>
          <w:lang w:val="ka-GE"/>
        </w:rPr>
        <w:t xml:space="preserve"> წმინდა სტრეს-ტესტების</w:t>
      </w:r>
      <w:r w:rsidR="00FD40BE" w:rsidRPr="00FD40BE">
        <w:rPr>
          <w:rFonts w:ascii="Sylfaen" w:hAnsi="Sylfaen"/>
          <w:sz w:val="22"/>
          <w:szCs w:val="22"/>
          <w:lang w:val="ka-GE"/>
        </w:rPr>
        <w:t xml:space="preserve"> ბუფერის ამოქმედების ვადა ნაკლები იყოს</w:t>
      </w:r>
      <w:r w:rsidR="00FD40BE">
        <w:rPr>
          <w:rFonts w:ascii="Sylfaen" w:hAnsi="Sylfaen"/>
          <w:sz w:val="22"/>
          <w:szCs w:val="22"/>
          <w:lang w:val="ka-GE"/>
        </w:rPr>
        <w:t xml:space="preserve"> ერთ</w:t>
      </w:r>
      <w:r w:rsidR="00FD40BE" w:rsidRPr="00FD40BE">
        <w:rPr>
          <w:rFonts w:ascii="Sylfaen" w:hAnsi="Sylfaen"/>
          <w:sz w:val="22"/>
          <w:szCs w:val="22"/>
          <w:lang w:val="ka-GE"/>
        </w:rPr>
        <w:t xml:space="preserve"> წელზე.</w:t>
      </w:r>
      <w:r>
        <w:rPr>
          <w:rFonts w:ascii="Sylfaen" w:hAnsi="Sylfaen"/>
          <w:sz w:val="22"/>
          <w:szCs w:val="22"/>
          <w:lang w:val="ka-GE"/>
        </w:rPr>
        <w:t>“.</w:t>
      </w:r>
      <w:bookmarkStart w:id="9" w:name="_GoBack"/>
      <w:bookmarkEnd w:id="9"/>
    </w:p>
    <w:p w14:paraId="1C704279" w14:textId="5CE58D0E" w:rsidR="00410161" w:rsidRDefault="00410161" w:rsidP="00102E04">
      <w:pPr>
        <w:spacing w:line="276" w:lineRule="auto"/>
        <w:contextualSpacing/>
        <w:jc w:val="both"/>
        <w:divId w:val="1802768214"/>
        <w:rPr>
          <w:rFonts w:ascii="Sylfaen" w:hAnsi="Sylfaen" w:cstheme="minorHAnsi"/>
          <w:sz w:val="22"/>
          <w:szCs w:val="22"/>
          <w:lang w:val="ka-GE"/>
        </w:rPr>
      </w:pPr>
    </w:p>
    <w:p w14:paraId="4972D5A9" w14:textId="6A8ED55F" w:rsidR="001C6E0F" w:rsidRPr="00410161" w:rsidRDefault="00C86609" w:rsidP="00102E04">
      <w:pPr>
        <w:spacing w:line="276" w:lineRule="auto"/>
        <w:contextualSpacing/>
        <w:jc w:val="both"/>
        <w:divId w:val="1802768214"/>
        <w:rPr>
          <w:rFonts w:ascii="Sylfaen" w:hAnsi="Sylfaen" w:cs="Sylfaen"/>
          <w:b/>
          <w:sz w:val="22"/>
          <w:szCs w:val="22"/>
          <w:lang w:val="ka-GE"/>
        </w:rPr>
      </w:pPr>
      <w:r>
        <w:rPr>
          <w:rFonts w:ascii="Sylfaen" w:hAnsi="Sylfaen" w:cstheme="minorHAnsi"/>
          <w:b/>
          <w:sz w:val="22"/>
          <w:szCs w:val="22"/>
          <w:lang w:val="ka-GE"/>
        </w:rPr>
        <w:t>6</w:t>
      </w:r>
      <w:r w:rsidR="00410161" w:rsidRPr="00C86609">
        <w:rPr>
          <w:rFonts w:ascii="Sylfaen" w:hAnsi="Sylfaen" w:cstheme="minorHAnsi"/>
          <w:b/>
          <w:sz w:val="22"/>
          <w:szCs w:val="22"/>
          <w:lang w:val="ka-GE"/>
        </w:rPr>
        <w:t>.</w:t>
      </w:r>
      <w:r w:rsidR="00410161">
        <w:rPr>
          <w:rFonts w:ascii="Sylfaen" w:hAnsi="Sylfaen" w:cstheme="minorHAnsi"/>
          <w:sz w:val="22"/>
          <w:szCs w:val="22"/>
          <w:lang w:val="ka-GE"/>
        </w:rPr>
        <w:t xml:space="preserve"> </w:t>
      </w:r>
      <w:r w:rsidR="00410161" w:rsidRPr="00A1006B">
        <w:rPr>
          <w:rFonts w:ascii="Sylfaen" w:hAnsi="Sylfaen" w:cs="Sylfaen"/>
          <w:b/>
          <w:sz w:val="22"/>
          <w:szCs w:val="22"/>
          <w:lang w:val="ka-GE"/>
        </w:rPr>
        <w:t>მე</w:t>
      </w:r>
      <w:r w:rsidR="00410161">
        <w:rPr>
          <w:rFonts w:ascii="Sylfaen" w:hAnsi="Sylfaen" w:cs="Sylfaen"/>
          <w:b/>
          <w:sz w:val="22"/>
          <w:szCs w:val="22"/>
          <w:lang w:val="ka-GE"/>
        </w:rPr>
        <w:t>-10</w:t>
      </w:r>
      <w:r w:rsidR="00410161" w:rsidRPr="00A1006B">
        <w:rPr>
          <w:rFonts w:ascii="Sylfaen" w:hAnsi="Sylfaen" w:cs="Sylfaen"/>
          <w:b/>
          <w:sz w:val="22"/>
          <w:szCs w:val="22"/>
          <w:lang w:val="ka-GE"/>
        </w:rPr>
        <w:t xml:space="preserve"> მუხლის მე</w:t>
      </w:r>
      <w:r w:rsidR="00410161">
        <w:rPr>
          <w:rFonts w:ascii="Sylfaen" w:hAnsi="Sylfaen" w:cs="Sylfaen"/>
          <w:b/>
          <w:sz w:val="22"/>
          <w:szCs w:val="22"/>
          <w:lang w:val="ka-GE"/>
        </w:rPr>
        <w:t>-2</w:t>
      </w:r>
      <w:r w:rsidR="00410161" w:rsidRPr="00A1006B">
        <w:rPr>
          <w:rFonts w:ascii="Sylfaen" w:hAnsi="Sylfaen" w:cs="Sylfaen"/>
          <w:b/>
          <w:sz w:val="22"/>
          <w:szCs w:val="22"/>
          <w:lang w:val="ka-GE"/>
        </w:rPr>
        <w:t xml:space="preserve"> პუნქტი ჩამოყალიბდეს შემდეგი რედაქციით:</w:t>
      </w:r>
    </w:p>
    <w:p w14:paraId="79C1FF53" w14:textId="688FD0F9" w:rsidR="006B5D6D" w:rsidRDefault="00102E04" w:rsidP="001A4337">
      <w:pPr>
        <w:pStyle w:val="NormalWeb"/>
        <w:spacing w:before="0" w:beforeAutospacing="0" w:after="0" w:afterAutospacing="0"/>
        <w:contextualSpacing/>
        <w:jc w:val="both"/>
        <w:divId w:val="1802768214"/>
        <w:rPr>
          <w:rFonts w:ascii="Sylfaen" w:hAnsi="Sylfaen"/>
          <w:sz w:val="22"/>
          <w:szCs w:val="22"/>
          <w:lang w:val="ka-GE"/>
        </w:rPr>
      </w:pPr>
      <w:r w:rsidRPr="00A1006B">
        <w:rPr>
          <w:rFonts w:ascii="Sylfaen" w:hAnsi="Sylfaen"/>
          <w:sz w:val="22"/>
          <w:szCs w:val="22"/>
          <w:lang w:val="ka-GE"/>
        </w:rPr>
        <w:lastRenderedPageBreak/>
        <w:t>„</w:t>
      </w:r>
      <w:r w:rsidRPr="00A1006B">
        <w:rPr>
          <w:rFonts w:ascii="Sylfaen" w:hAnsi="Sylfaen"/>
          <w:sz w:val="22"/>
          <w:szCs w:val="22"/>
        </w:rPr>
        <w:t xml:space="preserve">2. </w:t>
      </w:r>
      <w:r w:rsidRPr="00A1006B">
        <w:rPr>
          <w:rFonts w:ascii="Sylfaen" w:hAnsi="Sylfaen" w:cs="Sylfaen"/>
          <w:sz w:val="22"/>
          <w:szCs w:val="22"/>
        </w:rPr>
        <w:t>პილარ</w:t>
      </w:r>
      <w:r w:rsidRPr="00A1006B">
        <w:rPr>
          <w:rFonts w:ascii="Sylfaen" w:hAnsi="Sylfaen"/>
          <w:sz w:val="22"/>
          <w:szCs w:val="22"/>
        </w:rPr>
        <w:t xml:space="preserve"> 2-</w:t>
      </w:r>
      <w:r w:rsidRPr="00A1006B">
        <w:rPr>
          <w:rFonts w:ascii="Sylfaen" w:hAnsi="Sylfaen" w:cs="Sylfaen"/>
          <w:sz w:val="22"/>
          <w:szCs w:val="22"/>
        </w:rPr>
        <w:t>ის</w:t>
      </w:r>
      <w:r w:rsidRPr="00A1006B">
        <w:rPr>
          <w:rFonts w:ascii="Sylfaen" w:hAnsi="Sylfaen"/>
          <w:sz w:val="22"/>
          <w:szCs w:val="22"/>
        </w:rPr>
        <w:t xml:space="preserve"> </w:t>
      </w:r>
      <w:r w:rsidRPr="00A1006B">
        <w:rPr>
          <w:rFonts w:ascii="Sylfaen" w:hAnsi="Sylfaen" w:cs="Sylfaen"/>
          <w:sz w:val="22"/>
          <w:szCs w:val="22"/>
        </w:rPr>
        <w:t>ფარგლებში</w:t>
      </w:r>
      <w:r w:rsidRPr="00A1006B">
        <w:rPr>
          <w:rFonts w:ascii="Sylfaen" w:hAnsi="Sylfaen"/>
          <w:sz w:val="22"/>
          <w:szCs w:val="22"/>
        </w:rPr>
        <w:t xml:space="preserve"> </w:t>
      </w:r>
      <w:r w:rsidRPr="00A1006B">
        <w:rPr>
          <w:rFonts w:ascii="Sylfaen" w:hAnsi="Sylfaen" w:cs="Sylfaen"/>
          <w:sz w:val="22"/>
          <w:szCs w:val="22"/>
        </w:rPr>
        <w:t>განსაზღვრული</w:t>
      </w:r>
      <w:r w:rsidRPr="00A1006B">
        <w:rPr>
          <w:rFonts w:ascii="Sylfaen" w:hAnsi="Sylfaen"/>
          <w:sz w:val="22"/>
          <w:szCs w:val="22"/>
        </w:rPr>
        <w:t xml:space="preserve"> </w:t>
      </w:r>
      <w:r w:rsidRPr="00A1006B">
        <w:rPr>
          <w:rFonts w:ascii="Sylfaen" w:hAnsi="Sylfaen" w:cs="Sylfaen"/>
          <w:sz w:val="22"/>
          <w:szCs w:val="22"/>
        </w:rPr>
        <w:t>კაპიტალის</w:t>
      </w:r>
      <w:r w:rsidRPr="00A1006B">
        <w:rPr>
          <w:rFonts w:ascii="Sylfaen" w:hAnsi="Sylfaen"/>
          <w:sz w:val="22"/>
          <w:szCs w:val="22"/>
        </w:rPr>
        <w:t xml:space="preserve"> </w:t>
      </w:r>
      <w:r w:rsidRPr="00A1006B">
        <w:rPr>
          <w:rFonts w:ascii="Sylfaen" w:hAnsi="Sylfaen" w:cs="Sylfaen"/>
          <w:sz w:val="22"/>
          <w:szCs w:val="22"/>
        </w:rPr>
        <w:t>ნებისმიერი</w:t>
      </w:r>
      <w:r w:rsidRPr="00A1006B">
        <w:rPr>
          <w:rFonts w:ascii="Sylfaen" w:hAnsi="Sylfaen"/>
          <w:sz w:val="22"/>
          <w:szCs w:val="22"/>
        </w:rPr>
        <w:t xml:space="preserve"> </w:t>
      </w:r>
      <w:r w:rsidRPr="00A1006B">
        <w:rPr>
          <w:rFonts w:ascii="Sylfaen" w:hAnsi="Sylfaen" w:cs="Sylfaen"/>
          <w:sz w:val="22"/>
          <w:szCs w:val="22"/>
        </w:rPr>
        <w:t>ბუფერის</w:t>
      </w:r>
      <w:r w:rsidRPr="00A1006B">
        <w:rPr>
          <w:rFonts w:ascii="Sylfaen" w:hAnsi="Sylfaen" w:cs="Sylfaen"/>
          <w:sz w:val="22"/>
          <w:szCs w:val="22"/>
          <w:lang w:val="ka-GE"/>
        </w:rPr>
        <w:t xml:space="preserve">, გარდა </w:t>
      </w:r>
      <w:r w:rsidR="00410161">
        <w:rPr>
          <w:rFonts w:ascii="Sylfaen" w:hAnsi="Sylfaen" w:cs="Sylfaen"/>
          <w:sz w:val="22"/>
          <w:szCs w:val="22"/>
          <w:lang w:val="ka-GE"/>
        </w:rPr>
        <w:t xml:space="preserve">წმინდა სტრეს-ტესტების ბუფერისა და </w:t>
      </w:r>
      <w:r w:rsidRPr="00A1006B">
        <w:rPr>
          <w:rFonts w:ascii="Sylfaen" w:hAnsi="Sylfaen" w:cs="Sylfaen"/>
          <w:sz w:val="22"/>
          <w:szCs w:val="22"/>
          <w:lang w:val="ka-GE"/>
        </w:rPr>
        <w:t>საკრედიტო რისკის კორექტირების ბუფერისა,</w:t>
      </w:r>
      <w:r w:rsidRPr="00A1006B">
        <w:rPr>
          <w:rFonts w:ascii="Sylfaen" w:hAnsi="Sylfaen"/>
          <w:sz w:val="22"/>
          <w:szCs w:val="22"/>
          <w:lang w:val="ka-GE"/>
        </w:rPr>
        <w:t xml:space="preserve"> </w:t>
      </w:r>
      <w:r w:rsidRPr="00A1006B">
        <w:rPr>
          <w:rFonts w:ascii="Sylfaen" w:hAnsi="Sylfaen" w:cs="Sylfaen"/>
          <w:sz w:val="22"/>
          <w:szCs w:val="22"/>
        </w:rPr>
        <w:t>მინიმუმ</w:t>
      </w:r>
      <w:r w:rsidRPr="00A1006B">
        <w:rPr>
          <w:rFonts w:ascii="Sylfaen" w:hAnsi="Sylfaen"/>
          <w:sz w:val="22"/>
          <w:szCs w:val="22"/>
        </w:rPr>
        <w:t xml:space="preserve"> 56%-</w:t>
      </w:r>
      <w:r w:rsidRPr="00A1006B">
        <w:rPr>
          <w:rFonts w:ascii="Sylfaen" w:hAnsi="Sylfaen" w:cs="Sylfaen"/>
          <w:sz w:val="22"/>
          <w:szCs w:val="22"/>
        </w:rPr>
        <w:t>ის</w:t>
      </w:r>
      <w:r w:rsidRPr="00A1006B">
        <w:rPr>
          <w:rFonts w:ascii="Sylfaen" w:hAnsi="Sylfaen"/>
          <w:sz w:val="22"/>
          <w:szCs w:val="22"/>
        </w:rPr>
        <w:t xml:space="preserve"> </w:t>
      </w:r>
      <w:r w:rsidRPr="00A1006B">
        <w:rPr>
          <w:rFonts w:ascii="Sylfaen" w:hAnsi="Sylfaen" w:cs="Sylfaen"/>
          <w:sz w:val="22"/>
          <w:szCs w:val="22"/>
        </w:rPr>
        <w:t>დაკმაყოფილება</w:t>
      </w:r>
      <w:r w:rsidRPr="00A1006B">
        <w:rPr>
          <w:rFonts w:ascii="Sylfaen" w:hAnsi="Sylfaen"/>
          <w:sz w:val="22"/>
          <w:szCs w:val="22"/>
        </w:rPr>
        <w:t xml:space="preserve"> </w:t>
      </w:r>
      <w:r w:rsidRPr="00A1006B">
        <w:rPr>
          <w:rFonts w:ascii="Sylfaen" w:hAnsi="Sylfaen" w:cs="Sylfaen"/>
          <w:sz w:val="22"/>
          <w:szCs w:val="22"/>
        </w:rPr>
        <w:t>უნდა</w:t>
      </w:r>
      <w:r w:rsidRPr="00A1006B">
        <w:rPr>
          <w:rFonts w:ascii="Sylfaen" w:hAnsi="Sylfaen"/>
          <w:sz w:val="22"/>
          <w:szCs w:val="22"/>
        </w:rPr>
        <w:t xml:space="preserve"> </w:t>
      </w:r>
      <w:r w:rsidRPr="00A1006B">
        <w:rPr>
          <w:rFonts w:ascii="Sylfaen" w:hAnsi="Sylfaen" w:cs="Sylfaen"/>
          <w:sz w:val="22"/>
          <w:szCs w:val="22"/>
        </w:rPr>
        <w:t>მოხდეს</w:t>
      </w:r>
      <w:r w:rsidRPr="00A1006B">
        <w:rPr>
          <w:rFonts w:ascii="Sylfaen" w:hAnsi="Sylfaen"/>
          <w:sz w:val="22"/>
          <w:szCs w:val="22"/>
        </w:rPr>
        <w:t xml:space="preserve">  </w:t>
      </w:r>
      <w:r w:rsidRPr="00A1006B">
        <w:rPr>
          <w:rFonts w:ascii="Sylfaen" w:hAnsi="Sylfaen" w:cs="Sylfaen"/>
          <w:sz w:val="22"/>
          <w:szCs w:val="22"/>
        </w:rPr>
        <w:t>ძირითადი</w:t>
      </w:r>
      <w:r w:rsidRPr="00A1006B">
        <w:rPr>
          <w:rFonts w:ascii="Sylfaen" w:hAnsi="Sylfaen"/>
          <w:sz w:val="22"/>
          <w:szCs w:val="22"/>
        </w:rPr>
        <w:t xml:space="preserve"> </w:t>
      </w:r>
      <w:r w:rsidRPr="00A1006B">
        <w:rPr>
          <w:rFonts w:ascii="Sylfaen" w:hAnsi="Sylfaen" w:cs="Sylfaen"/>
          <w:sz w:val="22"/>
          <w:szCs w:val="22"/>
        </w:rPr>
        <w:t>პირველადი</w:t>
      </w:r>
      <w:r w:rsidRPr="00A1006B">
        <w:rPr>
          <w:rFonts w:ascii="Sylfaen" w:hAnsi="Sylfaen"/>
          <w:sz w:val="22"/>
          <w:szCs w:val="22"/>
        </w:rPr>
        <w:t xml:space="preserve"> </w:t>
      </w:r>
      <w:r w:rsidRPr="00A1006B">
        <w:rPr>
          <w:rFonts w:ascii="Sylfaen" w:hAnsi="Sylfaen" w:cs="Sylfaen"/>
          <w:sz w:val="22"/>
          <w:szCs w:val="22"/>
        </w:rPr>
        <w:t>კაპიტალის</w:t>
      </w:r>
      <w:r w:rsidRPr="00A1006B">
        <w:rPr>
          <w:rFonts w:ascii="Sylfaen" w:hAnsi="Sylfaen"/>
          <w:sz w:val="22"/>
          <w:szCs w:val="22"/>
        </w:rPr>
        <w:t xml:space="preserve"> </w:t>
      </w:r>
      <w:r w:rsidRPr="00A1006B">
        <w:rPr>
          <w:rFonts w:ascii="Sylfaen" w:hAnsi="Sylfaen" w:cs="Sylfaen"/>
          <w:sz w:val="22"/>
          <w:szCs w:val="22"/>
        </w:rPr>
        <w:t>ელემენტებით</w:t>
      </w:r>
      <w:r w:rsidRPr="00A1006B">
        <w:rPr>
          <w:rFonts w:ascii="Sylfaen" w:hAnsi="Sylfaen"/>
          <w:sz w:val="22"/>
          <w:szCs w:val="22"/>
        </w:rPr>
        <w:t xml:space="preserve">, </w:t>
      </w:r>
      <w:r w:rsidRPr="00A1006B">
        <w:rPr>
          <w:rFonts w:ascii="Sylfaen" w:hAnsi="Sylfaen" w:cs="Sylfaen"/>
          <w:sz w:val="22"/>
          <w:szCs w:val="22"/>
        </w:rPr>
        <w:t>მინიმუმ</w:t>
      </w:r>
      <w:r w:rsidRPr="00A1006B">
        <w:rPr>
          <w:rFonts w:ascii="Sylfaen" w:hAnsi="Sylfaen"/>
          <w:sz w:val="22"/>
          <w:szCs w:val="22"/>
        </w:rPr>
        <w:t xml:space="preserve"> 75%-</w:t>
      </w:r>
      <w:r w:rsidRPr="00A1006B">
        <w:rPr>
          <w:rFonts w:ascii="Sylfaen" w:hAnsi="Sylfaen" w:cs="Sylfaen"/>
          <w:sz w:val="22"/>
          <w:szCs w:val="22"/>
        </w:rPr>
        <w:t>ის</w:t>
      </w:r>
      <w:r w:rsidRPr="00A1006B">
        <w:rPr>
          <w:rFonts w:ascii="Sylfaen" w:hAnsi="Sylfaen"/>
          <w:sz w:val="22"/>
          <w:szCs w:val="22"/>
        </w:rPr>
        <w:t xml:space="preserve"> </w:t>
      </w:r>
      <w:r w:rsidRPr="00A1006B">
        <w:rPr>
          <w:rFonts w:ascii="Sylfaen" w:hAnsi="Sylfaen" w:cs="Sylfaen"/>
          <w:sz w:val="22"/>
          <w:szCs w:val="22"/>
        </w:rPr>
        <w:t>დაკმაყოფილება</w:t>
      </w:r>
      <w:r w:rsidRPr="00A1006B">
        <w:rPr>
          <w:rFonts w:ascii="Sylfaen" w:hAnsi="Sylfaen"/>
          <w:sz w:val="22"/>
          <w:szCs w:val="22"/>
        </w:rPr>
        <w:t xml:space="preserve"> </w:t>
      </w:r>
      <w:r w:rsidRPr="00A1006B">
        <w:rPr>
          <w:rFonts w:ascii="Sylfaen" w:hAnsi="Sylfaen" w:cs="Sylfaen"/>
          <w:sz w:val="22"/>
          <w:szCs w:val="22"/>
        </w:rPr>
        <w:t>უნდა</w:t>
      </w:r>
      <w:r w:rsidRPr="00A1006B">
        <w:rPr>
          <w:rFonts w:ascii="Sylfaen" w:hAnsi="Sylfaen"/>
          <w:sz w:val="22"/>
          <w:szCs w:val="22"/>
        </w:rPr>
        <w:t xml:space="preserve"> </w:t>
      </w:r>
      <w:r w:rsidRPr="00A1006B">
        <w:rPr>
          <w:rFonts w:ascii="Sylfaen" w:hAnsi="Sylfaen" w:cs="Sylfaen"/>
          <w:sz w:val="22"/>
          <w:szCs w:val="22"/>
        </w:rPr>
        <w:t>მოხდეს</w:t>
      </w:r>
      <w:r w:rsidRPr="00A1006B">
        <w:rPr>
          <w:rFonts w:ascii="Sylfaen" w:hAnsi="Sylfaen"/>
          <w:sz w:val="22"/>
          <w:szCs w:val="22"/>
        </w:rPr>
        <w:t xml:space="preserve"> </w:t>
      </w:r>
      <w:r w:rsidRPr="00A1006B">
        <w:rPr>
          <w:rFonts w:ascii="Sylfaen" w:hAnsi="Sylfaen" w:cs="Sylfaen"/>
          <w:sz w:val="22"/>
          <w:szCs w:val="22"/>
        </w:rPr>
        <w:t>პირველადი</w:t>
      </w:r>
      <w:r w:rsidRPr="00A1006B">
        <w:rPr>
          <w:rFonts w:ascii="Sylfaen" w:hAnsi="Sylfaen"/>
          <w:sz w:val="22"/>
          <w:szCs w:val="22"/>
        </w:rPr>
        <w:t xml:space="preserve"> </w:t>
      </w:r>
      <w:r w:rsidRPr="00A1006B">
        <w:rPr>
          <w:rFonts w:ascii="Sylfaen" w:hAnsi="Sylfaen" w:cs="Sylfaen"/>
          <w:sz w:val="22"/>
          <w:szCs w:val="22"/>
        </w:rPr>
        <w:t>კაპიტალის</w:t>
      </w:r>
      <w:r w:rsidRPr="00A1006B">
        <w:rPr>
          <w:rFonts w:ascii="Sylfaen" w:hAnsi="Sylfaen"/>
          <w:sz w:val="22"/>
          <w:szCs w:val="22"/>
        </w:rPr>
        <w:t xml:space="preserve"> </w:t>
      </w:r>
      <w:r w:rsidRPr="00A1006B">
        <w:rPr>
          <w:rFonts w:ascii="Sylfaen" w:hAnsi="Sylfaen" w:cs="Sylfaen"/>
          <w:sz w:val="22"/>
          <w:szCs w:val="22"/>
        </w:rPr>
        <w:t>ელემენტებით</w:t>
      </w:r>
      <w:r w:rsidRPr="00A1006B">
        <w:rPr>
          <w:rFonts w:ascii="Sylfaen" w:hAnsi="Sylfaen"/>
          <w:sz w:val="22"/>
          <w:szCs w:val="22"/>
        </w:rPr>
        <w:t xml:space="preserve">, </w:t>
      </w:r>
      <w:r w:rsidRPr="00A1006B">
        <w:rPr>
          <w:rFonts w:ascii="Sylfaen" w:hAnsi="Sylfaen" w:cs="Sylfaen"/>
          <w:sz w:val="22"/>
          <w:szCs w:val="22"/>
        </w:rPr>
        <w:t>ხოლო</w:t>
      </w:r>
      <w:r w:rsidRPr="00A1006B">
        <w:rPr>
          <w:rFonts w:ascii="Sylfaen" w:hAnsi="Sylfaen"/>
          <w:sz w:val="22"/>
          <w:szCs w:val="22"/>
        </w:rPr>
        <w:t xml:space="preserve"> </w:t>
      </w:r>
      <w:r w:rsidRPr="00A1006B">
        <w:rPr>
          <w:rFonts w:ascii="Sylfaen" w:hAnsi="Sylfaen" w:cs="Sylfaen"/>
          <w:sz w:val="22"/>
          <w:szCs w:val="22"/>
        </w:rPr>
        <w:t>დარჩენილი</w:t>
      </w:r>
      <w:r w:rsidRPr="00A1006B">
        <w:rPr>
          <w:rFonts w:ascii="Sylfaen" w:hAnsi="Sylfaen"/>
          <w:sz w:val="22"/>
          <w:szCs w:val="22"/>
        </w:rPr>
        <w:t xml:space="preserve"> </w:t>
      </w:r>
      <w:r w:rsidRPr="00A1006B">
        <w:rPr>
          <w:rFonts w:ascii="Sylfaen" w:hAnsi="Sylfaen" w:cs="Sylfaen"/>
          <w:sz w:val="22"/>
          <w:szCs w:val="22"/>
        </w:rPr>
        <w:t>წილი</w:t>
      </w:r>
      <w:r w:rsidRPr="00A1006B">
        <w:rPr>
          <w:rFonts w:ascii="Sylfaen" w:hAnsi="Sylfaen"/>
          <w:sz w:val="22"/>
          <w:szCs w:val="22"/>
        </w:rPr>
        <w:t xml:space="preserve"> (</w:t>
      </w:r>
      <w:r w:rsidRPr="00A1006B">
        <w:rPr>
          <w:rFonts w:ascii="Sylfaen" w:hAnsi="Sylfaen" w:cs="Sylfaen"/>
          <w:sz w:val="22"/>
          <w:szCs w:val="22"/>
        </w:rPr>
        <w:t>მაქსიმუმ</w:t>
      </w:r>
      <w:r w:rsidRPr="00A1006B">
        <w:rPr>
          <w:rFonts w:ascii="Sylfaen" w:hAnsi="Sylfaen"/>
          <w:sz w:val="22"/>
          <w:szCs w:val="22"/>
        </w:rPr>
        <w:t xml:space="preserve"> 25%) </w:t>
      </w:r>
      <w:r w:rsidRPr="00A1006B">
        <w:rPr>
          <w:rFonts w:ascii="Sylfaen" w:hAnsi="Sylfaen" w:cs="Sylfaen"/>
          <w:sz w:val="22"/>
          <w:szCs w:val="22"/>
        </w:rPr>
        <w:t>შესაძლოა</w:t>
      </w:r>
      <w:r w:rsidRPr="00A1006B">
        <w:rPr>
          <w:rFonts w:ascii="Sylfaen" w:hAnsi="Sylfaen"/>
          <w:sz w:val="22"/>
          <w:szCs w:val="22"/>
        </w:rPr>
        <w:t xml:space="preserve"> </w:t>
      </w:r>
      <w:r w:rsidRPr="00A1006B">
        <w:rPr>
          <w:rFonts w:ascii="Sylfaen" w:hAnsi="Sylfaen" w:cs="Sylfaen"/>
          <w:sz w:val="22"/>
          <w:szCs w:val="22"/>
        </w:rPr>
        <w:t>დაცული</w:t>
      </w:r>
      <w:r w:rsidRPr="00A1006B">
        <w:rPr>
          <w:rFonts w:ascii="Sylfaen" w:hAnsi="Sylfaen"/>
          <w:sz w:val="22"/>
          <w:szCs w:val="22"/>
        </w:rPr>
        <w:t xml:space="preserve"> </w:t>
      </w:r>
      <w:r w:rsidRPr="00A1006B">
        <w:rPr>
          <w:rFonts w:ascii="Sylfaen" w:hAnsi="Sylfaen" w:cs="Sylfaen"/>
          <w:sz w:val="22"/>
          <w:szCs w:val="22"/>
        </w:rPr>
        <w:t>იყოს</w:t>
      </w:r>
      <w:r w:rsidRPr="00A1006B">
        <w:rPr>
          <w:rFonts w:ascii="Sylfaen" w:hAnsi="Sylfaen"/>
          <w:sz w:val="22"/>
          <w:szCs w:val="22"/>
        </w:rPr>
        <w:t xml:space="preserve"> </w:t>
      </w:r>
      <w:r w:rsidRPr="00A1006B">
        <w:rPr>
          <w:rFonts w:ascii="Sylfaen" w:hAnsi="Sylfaen" w:cs="Sylfaen"/>
          <w:sz w:val="22"/>
          <w:szCs w:val="22"/>
        </w:rPr>
        <w:t>მეორადი</w:t>
      </w:r>
      <w:r w:rsidRPr="00A1006B">
        <w:rPr>
          <w:rFonts w:ascii="Sylfaen" w:hAnsi="Sylfaen"/>
          <w:sz w:val="22"/>
          <w:szCs w:val="22"/>
        </w:rPr>
        <w:t xml:space="preserve"> </w:t>
      </w:r>
      <w:r w:rsidRPr="00A1006B">
        <w:rPr>
          <w:rFonts w:ascii="Sylfaen" w:hAnsi="Sylfaen" w:cs="Sylfaen"/>
          <w:sz w:val="22"/>
          <w:szCs w:val="22"/>
        </w:rPr>
        <w:t>კაპიტალის</w:t>
      </w:r>
      <w:r w:rsidRPr="00A1006B">
        <w:rPr>
          <w:rFonts w:ascii="Sylfaen" w:hAnsi="Sylfaen"/>
          <w:sz w:val="22"/>
          <w:szCs w:val="22"/>
        </w:rPr>
        <w:t xml:space="preserve"> </w:t>
      </w:r>
      <w:r w:rsidRPr="00A1006B">
        <w:rPr>
          <w:rFonts w:ascii="Sylfaen" w:hAnsi="Sylfaen" w:cs="Sylfaen"/>
          <w:sz w:val="22"/>
          <w:szCs w:val="22"/>
        </w:rPr>
        <w:t>ელემენტებით</w:t>
      </w:r>
      <w:r w:rsidRPr="00A1006B">
        <w:rPr>
          <w:rFonts w:ascii="Sylfaen" w:hAnsi="Sylfaen"/>
          <w:sz w:val="22"/>
          <w:szCs w:val="22"/>
        </w:rPr>
        <w:t>.</w:t>
      </w:r>
      <w:r w:rsidR="00410161">
        <w:rPr>
          <w:rFonts w:ascii="Sylfaen" w:hAnsi="Sylfaen"/>
          <w:sz w:val="22"/>
          <w:szCs w:val="22"/>
          <w:lang w:val="ka-GE"/>
        </w:rPr>
        <w:t xml:space="preserve"> წმინდა სტრეს-ტესტებისა და</w:t>
      </w:r>
      <w:r w:rsidRPr="00A1006B">
        <w:rPr>
          <w:rFonts w:ascii="Sylfaen" w:hAnsi="Sylfaen"/>
          <w:sz w:val="22"/>
          <w:szCs w:val="22"/>
          <w:lang w:val="ka-GE"/>
        </w:rPr>
        <w:t xml:space="preserve"> საკრედიტო რისკის კორექტირების ბუფერი სრულად უნდა იქნას დაკმაყოფილებული ძირითადი პირველადი კაპიტალის ელემენტებით.</w:t>
      </w:r>
      <w:r w:rsidR="00E52A32" w:rsidRPr="00A1006B">
        <w:rPr>
          <w:rFonts w:ascii="Sylfaen" w:hAnsi="Sylfaen"/>
          <w:sz w:val="22"/>
          <w:szCs w:val="22"/>
          <w:lang w:val="ka-GE"/>
        </w:rPr>
        <w:t>“.</w:t>
      </w:r>
    </w:p>
    <w:p w14:paraId="4AA6BD2C" w14:textId="79B41666" w:rsidR="006B5D6D" w:rsidRPr="00A1006B" w:rsidRDefault="006B5D6D" w:rsidP="00102E04">
      <w:pPr>
        <w:jc w:val="both"/>
        <w:divId w:val="1802768214"/>
        <w:rPr>
          <w:rFonts w:ascii="Sylfaen" w:eastAsia="Times New Roman" w:hAnsi="Sylfaen"/>
          <w:sz w:val="22"/>
          <w:szCs w:val="22"/>
          <w:lang w:val="ka-GE"/>
        </w:rPr>
      </w:pPr>
    </w:p>
    <w:p w14:paraId="0CCC49F5" w14:textId="143DFC12" w:rsidR="006B5D6D" w:rsidRPr="00A1006B" w:rsidRDefault="006B5D6D" w:rsidP="00102E04">
      <w:pPr>
        <w:jc w:val="both"/>
        <w:divId w:val="1802768214"/>
        <w:rPr>
          <w:rFonts w:ascii="Sylfaen" w:eastAsia="Times New Roman" w:hAnsi="Sylfaen"/>
          <w:sz w:val="22"/>
          <w:szCs w:val="22"/>
          <w:lang w:val="ka-GE"/>
        </w:rPr>
      </w:pPr>
    </w:p>
    <w:p w14:paraId="28FBFDA1" w14:textId="48DD585C" w:rsidR="006B5D6D" w:rsidRPr="00A1006B" w:rsidRDefault="006B5D6D" w:rsidP="00102E04">
      <w:pPr>
        <w:jc w:val="both"/>
        <w:divId w:val="1802768214"/>
        <w:rPr>
          <w:rFonts w:ascii="Sylfaen" w:eastAsia="Times New Roman" w:hAnsi="Sylfaen"/>
          <w:sz w:val="22"/>
          <w:szCs w:val="22"/>
          <w:lang w:val="ka-GE"/>
        </w:rPr>
      </w:pPr>
      <w:r w:rsidRPr="00A1006B">
        <w:rPr>
          <w:rFonts w:ascii="Sylfaen" w:eastAsia="Times New Roman" w:hAnsi="Sylfaen"/>
          <w:b/>
          <w:sz w:val="22"/>
          <w:szCs w:val="22"/>
          <w:lang w:val="ka-GE"/>
        </w:rPr>
        <w:t>მუხლი 2.</w:t>
      </w:r>
      <w:r w:rsidRPr="00A1006B">
        <w:rPr>
          <w:rFonts w:ascii="Sylfaen" w:eastAsia="Times New Roman" w:hAnsi="Sylfaen"/>
          <w:sz w:val="22"/>
          <w:szCs w:val="22"/>
          <w:lang w:val="ka-GE"/>
        </w:rPr>
        <w:t xml:space="preserve"> ეს ბრძანება ამოქმედდეს </w:t>
      </w:r>
      <w:r w:rsidR="00596A5E">
        <w:rPr>
          <w:rFonts w:ascii="Sylfaen" w:eastAsia="Times New Roman" w:hAnsi="Sylfaen"/>
          <w:sz w:val="22"/>
          <w:szCs w:val="22"/>
          <w:lang w:val="ka-GE"/>
        </w:rPr>
        <w:t>გამოქვეყნებისთანავე</w:t>
      </w:r>
      <w:r w:rsidR="001B23D0">
        <w:rPr>
          <w:rFonts w:ascii="Sylfaen" w:eastAsia="Times New Roman" w:hAnsi="Sylfaen"/>
          <w:sz w:val="22"/>
          <w:szCs w:val="22"/>
          <w:lang w:val="ka-GE"/>
        </w:rPr>
        <w:t>.</w:t>
      </w:r>
    </w:p>
    <w:p w14:paraId="4D03DD66" w14:textId="5149A6B6" w:rsidR="006B5D6D" w:rsidRPr="00A1006B" w:rsidRDefault="006B5D6D">
      <w:pPr>
        <w:spacing w:before="120" w:line="276" w:lineRule="auto"/>
        <w:jc w:val="both"/>
        <w:divId w:val="1802768214"/>
        <w:rPr>
          <w:rFonts w:ascii="Sylfaen" w:hAnsi="Sylfaen" w:cstheme="minorHAnsi"/>
          <w:b/>
          <w:sz w:val="22"/>
          <w:szCs w:val="22"/>
          <w:lang w:val="ka-GE"/>
        </w:rPr>
      </w:pPr>
    </w:p>
    <w:p w14:paraId="04A774F4" w14:textId="77777777" w:rsidR="00596A5E" w:rsidRDefault="006B5D6D" w:rsidP="00596A5E">
      <w:pPr>
        <w:spacing w:before="120" w:line="276" w:lineRule="auto"/>
        <w:divId w:val="1802768214"/>
        <w:rPr>
          <w:rFonts w:ascii="Sylfaen" w:hAnsi="Sylfaen" w:cstheme="minorHAnsi"/>
          <w:b/>
          <w:sz w:val="22"/>
          <w:szCs w:val="22"/>
          <w:lang w:val="ka-GE"/>
        </w:rPr>
      </w:pPr>
      <w:r w:rsidRPr="00A1006B">
        <w:rPr>
          <w:rFonts w:ascii="Sylfaen" w:hAnsi="Sylfaen" w:cstheme="minorHAnsi"/>
          <w:b/>
          <w:sz w:val="22"/>
          <w:szCs w:val="22"/>
          <w:lang w:val="ka-GE"/>
        </w:rPr>
        <w:t>საქართველოს ეროვნული ბანკის პრეზიდენტი</w:t>
      </w:r>
      <w:r w:rsidR="00596A5E">
        <w:rPr>
          <w:rFonts w:ascii="Sylfaen" w:hAnsi="Sylfaen" w:cstheme="minorHAnsi"/>
          <w:b/>
          <w:sz w:val="22"/>
          <w:szCs w:val="22"/>
          <w:lang w:val="ka-GE"/>
        </w:rPr>
        <w:t xml:space="preserve">ს </w:t>
      </w:r>
    </w:p>
    <w:p w14:paraId="1A9B3DEB" w14:textId="205C046E" w:rsidR="00E81CB9" w:rsidRPr="00596A5E" w:rsidRDefault="00596A5E" w:rsidP="00596A5E">
      <w:pPr>
        <w:spacing w:before="120" w:line="276" w:lineRule="auto"/>
        <w:divId w:val="1802768214"/>
        <w:rPr>
          <w:rFonts w:ascii="Sylfaen" w:hAnsi="Sylfaen" w:cstheme="minorHAnsi"/>
          <w:b/>
          <w:sz w:val="22"/>
          <w:szCs w:val="22"/>
          <w:lang w:val="ka-GE"/>
        </w:rPr>
      </w:pPr>
      <w:r>
        <w:rPr>
          <w:rFonts w:ascii="Sylfaen" w:hAnsi="Sylfaen" w:cstheme="minorHAnsi"/>
          <w:b/>
          <w:sz w:val="22"/>
          <w:szCs w:val="22"/>
          <w:lang w:val="ka-GE"/>
        </w:rPr>
        <w:t>მოვალეობის შემსრულებელი</w:t>
      </w:r>
      <w:r w:rsidR="006B5D6D" w:rsidRPr="00A1006B">
        <w:rPr>
          <w:rFonts w:ascii="Sylfaen" w:hAnsi="Sylfaen" w:cstheme="minorHAnsi"/>
          <w:b/>
          <w:sz w:val="22"/>
          <w:szCs w:val="22"/>
          <w:lang w:val="ka-GE"/>
        </w:rPr>
        <w:t xml:space="preserve">                                                    </w:t>
      </w:r>
      <w:bookmarkStart w:id="10" w:name="DOCUMENT:1;ENCLOSURE:1;ARTICLE:8;"/>
      <w:bookmarkStart w:id="11" w:name="DOCUMENT:1;ENCLOSURE:1;ARTICLE:9;"/>
      <w:bookmarkEnd w:id="10"/>
      <w:bookmarkEnd w:id="11"/>
      <w:r>
        <w:rPr>
          <w:rFonts w:ascii="Sylfaen" w:hAnsi="Sylfaen" w:cstheme="minorHAnsi"/>
          <w:b/>
          <w:sz w:val="22"/>
          <w:szCs w:val="22"/>
          <w:lang w:val="ka-GE"/>
        </w:rPr>
        <w:t xml:space="preserve">                  </w:t>
      </w:r>
      <w:r w:rsidR="006F3B9C">
        <w:rPr>
          <w:rFonts w:ascii="Sylfaen" w:hAnsi="Sylfaen" w:cstheme="minorHAnsi"/>
          <w:b/>
          <w:i/>
          <w:sz w:val="22"/>
          <w:szCs w:val="22"/>
          <w:lang w:val="ka-GE"/>
        </w:rPr>
        <w:t>ნათელა თურნავა</w:t>
      </w:r>
      <w:r w:rsidR="004547F1" w:rsidRPr="005F252E">
        <w:rPr>
          <w:rFonts w:ascii="Sylfaen" w:eastAsia="Times New Roman" w:hAnsi="Sylfaen"/>
          <w:sz w:val="22"/>
          <w:szCs w:val="22"/>
        </w:rPr>
        <w:br/>
      </w:r>
      <w:bookmarkStart w:id="12" w:name="DOCUMENT:1;ENCLOSURE:1;ARTICLE:10;"/>
      <w:bookmarkEnd w:id="12"/>
      <w:r w:rsidR="004547F1" w:rsidRPr="005F252E">
        <w:rPr>
          <w:rFonts w:ascii="Sylfaen" w:eastAsia="Times New Roman" w:hAnsi="Sylfaen"/>
          <w:sz w:val="22"/>
          <w:szCs w:val="22"/>
        </w:rPr>
        <w:br/>
      </w:r>
      <w:bookmarkStart w:id="13" w:name="DOCUMENT:1;ENCLOSURE:1;ARTICLE:12;"/>
      <w:bookmarkEnd w:id="13"/>
    </w:p>
    <w:tbl>
      <w:tblPr>
        <w:tblW w:w="5000" w:type="pct"/>
        <w:tblCellSpacing w:w="15" w:type="dxa"/>
        <w:tblLook w:val="04A0" w:firstRow="1" w:lastRow="0" w:firstColumn="1" w:lastColumn="0" w:noHBand="0" w:noVBand="1"/>
      </w:tblPr>
      <w:tblGrid>
        <w:gridCol w:w="9360"/>
      </w:tblGrid>
      <w:tr w:rsidR="00E81CB9" w:rsidRPr="005F252E" w14:paraId="02F752EC" w14:textId="77777777">
        <w:trPr>
          <w:divId w:val="1802768214"/>
          <w:tblCellSpacing w:w="15" w:type="dxa"/>
        </w:trPr>
        <w:tc>
          <w:tcPr>
            <w:tcW w:w="0" w:type="auto"/>
            <w:tcMar>
              <w:top w:w="15" w:type="dxa"/>
              <w:left w:w="15" w:type="dxa"/>
              <w:bottom w:w="15" w:type="dxa"/>
              <w:right w:w="15" w:type="dxa"/>
            </w:tcMar>
            <w:vAlign w:val="center"/>
            <w:hideMark/>
          </w:tcPr>
          <w:p w14:paraId="394ABB11" w14:textId="77777777" w:rsidR="00E81CB9" w:rsidRPr="005F252E" w:rsidRDefault="00E81CB9">
            <w:pPr>
              <w:rPr>
                <w:rFonts w:ascii="Sylfaen" w:eastAsia="Times New Roman" w:hAnsi="Sylfaen"/>
                <w:sz w:val="22"/>
                <w:szCs w:val="22"/>
              </w:rPr>
            </w:pPr>
            <w:bookmarkStart w:id="14" w:name="DOCUMENT:1;ENCLOSURE:1;FOOTER:1;"/>
            <w:bookmarkEnd w:id="14"/>
          </w:p>
        </w:tc>
      </w:tr>
    </w:tbl>
    <w:p w14:paraId="6534CFBF" w14:textId="77777777" w:rsidR="00E81CB9" w:rsidRPr="005F252E" w:rsidRDefault="00E81CB9" w:rsidP="006B5D6D">
      <w:pPr>
        <w:divId w:val="1802768214"/>
        <w:rPr>
          <w:rFonts w:ascii="Sylfaen" w:eastAsia="Times New Roman" w:hAnsi="Sylfaen"/>
          <w:sz w:val="22"/>
          <w:szCs w:val="22"/>
        </w:rPr>
      </w:pPr>
    </w:p>
    <w:sectPr w:rsidR="00E81CB9" w:rsidRPr="005F25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9B0DF" w14:textId="77777777" w:rsidR="005A575B" w:rsidRDefault="005A575B"/>
  </w:endnote>
  <w:endnote w:type="continuationSeparator" w:id="0">
    <w:p w14:paraId="3FE55685" w14:textId="77777777" w:rsidR="005A575B" w:rsidRDefault="005A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EAA1" w14:textId="77777777" w:rsidR="005A575B" w:rsidRDefault="005A575B"/>
  </w:footnote>
  <w:footnote w:type="continuationSeparator" w:id="0">
    <w:p w14:paraId="2D2ED824" w14:textId="77777777" w:rsidR="005A575B" w:rsidRDefault="005A57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02547"/>
    <w:multiLevelType w:val="hybridMultilevel"/>
    <w:tmpl w:val="0D8AB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514A80"/>
    <w:multiLevelType w:val="hybridMultilevel"/>
    <w:tmpl w:val="C9C89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F1"/>
    <w:rsid w:val="00016EAA"/>
    <w:rsid w:val="0003296E"/>
    <w:rsid w:val="00036706"/>
    <w:rsid w:val="00080DDD"/>
    <w:rsid w:val="000836DB"/>
    <w:rsid w:val="000A368C"/>
    <w:rsid w:val="000A5A58"/>
    <w:rsid w:val="000A6BCB"/>
    <w:rsid w:val="000C1319"/>
    <w:rsid w:val="000D422F"/>
    <w:rsid w:val="000D4BEA"/>
    <w:rsid w:val="000E41B2"/>
    <w:rsid w:val="00102E04"/>
    <w:rsid w:val="00126276"/>
    <w:rsid w:val="00134A77"/>
    <w:rsid w:val="00141F87"/>
    <w:rsid w:val="00150B27"/>
    <w:rsid w:val="00154C22"/>
    <w:rsid w:val="001833B3"/>
    <w:rsid w:val="0019143D"/>
    <w:rsid w:val="001A212F"/>
    <w:rsid w:val="001A4337"/>
    <w:rsid w:val="001B23D0"/>
    <w:rsid w:val="001B5842"/>
    <w:rsid w:val="001B7B8A"/>
    <w:rsid w:val="001C6E0F"/>
    <w:rsid w:val="001D0853"/>
    <w:rsid w:val="001E19D4"/>
    <w:rsid w:val="001F4D38"/>
    <w:rsid w:val="001F6F3C"/>
    <w:rsid w:val="001F74C8"/>
    <w:rsid w:val="002001F4"/>
    <w:rsid w:val="00245B0A"/>
    <w:rsid w:val="002517B5"/>
    <w:rsid w:val="00254BB2"/>
    <w:rsid w:val="002574F1"/>
    <w:rsid w:val="00263854"/>
    <w:rsid w:val="00267AE8"/>
    <w:rsid w:val="00281EFE"/>
    <w:rsid w:val="00283608"/>
    <w:rsid w:val="002875D7"/>
    <w:rsid w:val="002915C4"/>
    <w:rsid w:val="00294837"/>
    <w:rsid w:val="002C217C"/>
    <w:rsid w:val="002C39D6"/>
    <w:rsid w:val="002E1338"/>
    <w:rsid w:val="002E39DC"/>
    <w:rsid w:val="003005B9"/>
    <w:rsid w:val="00347579"/>
    <w:rsid w:val="0037345B"/>
    <w:rsid w:val="0038382C"/>
    <w:rsid w:val="00391531"/>
    <w:rsid w:val="003A56A7"/>
    <w:rsid w:val="003A6DF3"/>
    <w:rsid w:val="003C59C1"/>
    <w:rsid w:val="003F521C"/>
    <w:rsid w:val="004012F0"/>
    <w:rsid w:val="00410161"/>
    <w:rsid w:val="00410362"/>
    <w:rsid w:val="004152B1"/>
    <w:rsid w:val="00440B1C"/>
    <w:rsid w:val="00442C07"/>
    <w:rsid w:val="004512BD"/>
    <w:rsid w:val="00451852"/>
    <w:rsid w:val="004547F1"/>
    <w:rsid w:val="0045505F"/>
    <w:rsid w:val="00461B71"/>
    <w:rsid w:val="00487F14"/>
    <w:rsid w:val="004D4A96"/>
    <w:rsid w:val="004D7F25"/>
    <w:rsid w:val="004E6B02"/>
    <w:rsid w:val="0053500C"/>
    <w:rsid w:val="00537C0C"/>
    <w:rsid w:val="005624BB"/>
    <w:rsid w:val="00596A5E"/>
    <w:rsid w:val="005A04CE"/>
    <w:rsid w:val="005A575B"/>
    <w:rsid w:val="005A7007"/>
    <w:rsid w:val="005B283C"/>
    <w:rsid w:val="005B3806"/>
    <w:rsid w:val="005C0337"/>
    <w:rsid w:val="005C1B0F"/>
    <w:rsid w:val="005F252E"/>
    <w:rsid w:val="00601F09"/>
    <w:rsid w:val="00614173"/>
    <w:rsid w:val="00624941"/>
    <w:rsid w:val="00632DD4"/>
    <w:rsid w:val="00646F8D"/>
    <w:rsid w:val="00657142"/>
    <w:rsid w:val="00657891"/>
    <w:rsid w:val="00663FAF"/>
    <w:rsid w:val="00687CBA"/>
    <w:rsid w:val="006B28A8"/>
    <w:rsid w:val="006B5D6D"/>
    <w:rsid w:val="006C40C9"/>
    <w:rsid w:val="006D595D"/>
    <w:rsid w:val="006F3B9C"/>
    <w:rsid w:val="00744203"/>
    <w:rsid w:val="00775D35"/>
    <w:rsid w:val="007872E4"/>
    <w:rsid w:val="007A51D3"/>
    <w:rsid w:val="007B22B1"/>
    <w:rsid w:val="008147CB"/>
    <w:rsid w:val="008174AF"/>
    <w:rsid w:val="008309FF"/>
    <w:rsid w:val="00867662"/>
    <w:rsid w:val="008800A2"/>
    <w:rsid w:val="0088330C"/>
    <w:rsid w:val="00906281"/>
    <w:rsid w:val="00907D89"/>
    <w:rsid w:val="00920431"/>
    <w:rsid w:val="0093409A"/>
    <w:rsid w:val="009364D4"/>
    <w:rsid w:val="00944318"/>
    <w:rsid w:val="00992988"/>
    <w:rsid w:val="009A3B94"/>
    <w:rsid w:val="009A79BD"/>
    <w:rsid w:val="009C0A2E"/>
    <w:rsid w:val="009C1EBC"/>
    <w:rsid w:val="009C40A4"/>
    <w:rsid w:val="009D6A05"/>
    <w:rsid w:val="009F4372"/>
    <w:rsid w:val="00A1006B"/>
    <w:rsid w:val="00A23651"/>
    <w:rsid w:val="00A458A2"/>
    <w:rsid w:val="00A56D2B"/>
    <w:rsid w:val="00A87E9B"/>
    <w:rsid w:val="00AB695D"/>
    <w:rsid w:val="00AC3306"/>
    <w:rsid w:val="00AC6A86"/>
    <w:rsid w:val="00AD01EF"/>
    <w:rsid w:val="00AE3760"/>
    <w:rsid w:val="00B01E1D"/>
    <w:rsid w:val="00B047ED"/>
    <w:rsid w:val="00B16AC3"/>
    <w:rsid w:val="00B4225D"/>
    <w:rsid w:val="00B57212"/>
    <w:rsid w:val="00B80669"/>
    <w:rsid w:val="00B92718"/>
    <w:rsid w:val="00B96893"/>
    <w:rsid w:val="00BA3150"/>
    <w:rsid w:val="00BB0449"/>
    <w:rsid w:val="00BC02BA"/>
    <w:rsid w:val="00BD0846"/>
    <w:rsid w:val="00BE3892"/>
    <w:rsid w:val="00C06064"/>
    <w:rsid w:val="00C17A7A"/>
    <w:rsid w:val="00C30551"/>
    <w:rsid w:val="00C562A6"/>
    <w:rsid w:val="00C57011"/>
    <w:rsid w:val="00C608C5"/>
    <w:rsid w:val="00C86609"/>
    <w:rsid w:val="00C959E7"/>
    <w:rsid w:val="00CA64FC"/>
    <w:rsid w:val="00CA6C91"/>
    <w:rsid w:val="00CB183F"/>
    <w:rsid w:val="00CF32C5"/>
    <w:rsid w:val="00D2218C"/>
    <w:rsid w:val="00D24FF1"/>
    <w:rsid w:val="00D25467"/>
    <w:rsid w:val="00D37CFE"/>
    <w:rsid w:val="00D45B51"/>
    <w:rsid w:val="00D53548"/>
    <w:rsid w:val="00D85441"/>
    <w:rsid w:val="00D9239C"/>
    <w:rsid w:val="00DE338B"/>
    <w:rsid w:val="00DE6B59"/>
    <w:rsid w:val="00DF3B42"/>
    <w:rsid w:val="00DF66B2"/>
    <w:rsid w:val="00E10394"/>
    <w:rsid w:val="00E153B8"/>
    <w:rsid w:val="00E25FD4"/>
    <w:rsid w:val="00E307D3"/>
    <w:rsid w:val="00E32F5E"/>
    <w:rsid w:val="00E33DC3"/>
    <w:rsid w:val="00E3580D"/>
    <w:rsid w:val="00E52A32"/>
    <w:rsid w:val="00E57568"/>
    <w:rsid w:val="00E57706"/>
    <w:rsid w:val="00E81CB9"/>
    <w:rsid w:val="00EA3104"/>
    <w:rsid w:val="00EA4495"/>
    <w:rsid w:val="00EA7988"/>
    <w:rsid w:val="00EF6E10"/>
    <w:rsid w:val="00F24CBB"/>
    <w:rsid w:val="00F37FA7"/>
    <w:rsid w:val="00F428F6"/>
    <w:rsid w:val="00F446B5"/>
    <w:rsid w:val="00F52189"/>
    <w:rsid w:val="00F55127"/>
    <w:rsid w:val="00F56B57"/>
    <w:rsid w:val="00F86886"/>
    <w:rsid w:val="00F963C6"/>
    <w:rsid w:val="00FA093E"/>
    <w:rsid w:val="00FA4B11"/>
    <w:rsid w:val="00FB4B6E"/>
    <w:rsid w:val="00FC422D"/>
    <w:rsid w:val="00FD1CC4"/>
    <w:rsid w:val="00FD40BE"/>
    <w:rsid w:val="00FD552F"/>
    <w:rsid w:val="00FE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11851"/>
  <w15:chartTrackingRefBased/>
  <w15:docId w15:val="{B80172F4-C310-4C70-A1D7-A44F377F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locked/>
    <w:rPr>
      <w:rFonts w:ascii="Times New Roman" w:eastAsiaTheme="minorEastAsia" w:hAnsi="Times New Roman" w:cs="Times New Roman" w:hint="defaul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styleId="Revision">
    <w:name w:val="Revision"/>
    <w:uiPriority w:val="99"/>
    <w:semiHidden/>
    <w:rPr>
      <w:rFonts w:eastAsiaTheme="minorEastAsia"/>
      <w:sz w:val="24"/>
      <w:szCs w:val="24"/>
    </w:rPr>
  </w:style>
  <w:style w:type="paragraph" w:styleId="ListParagraph">
    <w:name w:val="List Paragraph"/>
    <w:basedOn w:val="Normal"/>
    <w:uiPriority w:val="34"/>
    <w:semiHidden/>
    <w:qFormat/>
    <w:pPr>
      <w:ind w:left="720"/>
      <w:contextualSpacing/>
    </w:pPr>
  </w:style>
  <w:style w:type="paragraph" w:customStyle="1" w:styleId="mimgebixml">
    <w:name w:val="mimgebixml"/>
    <w:basedOn w:val="Normal"/>
    <w:uiPriority w:val="99"/>
    <w:semiHidden/>
    <w:pPr>
      <w:spacing w:before="100" w:beforeAutospacing="1" w:after="100" w:afterAutospacing="1"/>
    </w:pPr>
  </w:style>
  <w:style w:type="paragraph" w:customStyle="1" w:styleId="paragraph">
    <w:name w:val="paragraph"/>
    <w:basedOn w:val="Normal"/>
    <w:uiPriority w:val="99"/>
    <w:semiHidden/>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76821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tvbnRyaWR6ZTwvVXNlck5hbWU+PERhdGVUaW1lPjEyLzUvMjAyMiA2OjE0OjEyIFB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1A52BDCE-76A9-47EA-9A9A-0836FF8DE78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720440C-8069-4847-945F-55E7745057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Export HTML To Doc</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Teona Kontridze</dc:creator>
  <cp:keywords/>
  <dc:description/>
  <cp:lastModifiedBy>Ana Gogoladze</cp:lastModifiedBy>
  <cp:revision>6</cp:revision>
  <dcterms:created xsi:type="dcterms:W3CDTF">2023-08-03T11:22:00Z</dcterms:created>
  <dcterms:modified xsi:type="dcterms:W3CDTF">2023-08-04T09:42:00Z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dd4af43f-1577-4d97-ab70-b05bdb108a32</vt:lpwstr>
  </property>
  <property fmtid="{D5CDD505-2E9C-101B-9397-08002B2CF9AE}" pid="3" name="bjSaver">
    <vt:lpwstr>mbmp6y3gUWpjEof1Ox/3fWWmiJ9bZmza</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{1A52BDCE-76A9-47EA-9A9A-0836FF8DE78A}</vt:lpwstr>
  </property>
</Properties>
</file>