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40DA3" w14:textId="7D2A3DDC" w:rsidR="005670AE" w:rsidRPr="0035243C" w:rsidRDefault="005670AE" w:rsidP="0035243C">
      <w:pPr>
        <w:spacing w:after="0" w:line="240" w:lineRule="auto"/>
        <w:jc w:val="right"/>
        <w:rPr>
          <w:b/>
          <w:i/>
          <w:u w:val="single"/>
          <w:lang w:val="ka-GE"/>
        </w:rPr>
      </w:pPr>
      <w:bookmarkStart w:id="0" w:name="_GoBack"/>
      <w:r w:rsidRPr="0035243C">
        <w:rPr>
          <w:b/>
          <w:i/>
          <w:u w:val="single"/>
          <w:lang w:val="ka-GE"/>
        </w:rPr>
        <w:t>პროექტი</w:t>
      </w:r>
    </w:p>
    <w:p w14:paraId="58940BFE" w14:textId="77777777" w:rsidR="005670AE" w:rsidRPr="0035243C" w:rsidRDefault="005670AE" w:rsidP="0035243C">
      <w:pPr>
        <w:spacing w:after="0" w:line="240" w:lineRule="auto"/>
        <w:jc w:val="right"/>
        <w:rPr>
          <w:b/>
          <w:i/>
          <w:u w:val="single"/>
          <w:lang w:val="ka-GE"/>
        </w:rPr>
      </w:pPr>
    </w:p>
    <w:p w14:paraId="7543C36B" w14:textId="77F79C4C" w:rsidR="005670AE" w:rsidRPr="0035243C" w:rsidRDefault="00F033FA" w:rsidP="0035243C">
      <w:pPr>
        <w:spacing w:after="0" w:line="240" w:lineRule="auto"/>
        <w:jc w:val="center"/>
        <w:rPr>
          <w:b/>
        </w:rPr>
      </w:pPr>
      <w:r w:rsidRPr="0035243C">
        <w:rPr>
          <w:b/>
          <w:lang w:val="ka-GE"/>
        </w:rPr>
        <w:t xml:space="preserve">საქართველოს ეროვნული ბანკის პრეზიდენტის </w:t>
      </w:r>
    </w:p>
    <w:p w14:paraId="3EE7AC75" w14:textId="6D92A428" w:rsidR="00F033FA" w:rsidRPr="0035243C" w:rsidRDefault="00F033FA" w:rsidP="0035243C">
      <w:pPr>
        <w:spacing w:after="0" w:line="240" w:lineRule="auto"/>
        <w:jc w:val="center"/>
        <w:rPr>
          <w:b/>
          <w:lang w:val="ka-GE"/>
        </w:rPr>
      </w:pPr>
      <w:r w:rsidRPr="0035243C">
        <w:rPr>
          <w:b/>
          <w:lang w:val="ka-GE"/>
        </w:rPr>
        <w:t>ბრძანება</w:t>
      </w:r>
      <w:r w:rsidR="005670AE" w:rsidRPr="0035243C">
        <w:rPr>
          <w:b/>
          <w:lang w:val="ka-GE"/>
        </w:rPr>
        <w:t xml:space="preserve"> №</w:t>
      </w:r>
    </w:p>
    <w:p w14:paraId="58CFDFFD" w14:textId="77777777" w:rsidR="00F033FA" w:rsidRPr="0035243C" w:rsidRDefault="00F033FA" w:rsidP="0035243C">
      <w:pPr>
        <w:spacing w:after="0" w:line="240" w:lineRule="auto"/>
        <w:jc w:val="center"/>
        <w:rPr>
          <w:b/>
          <w:lang w:val="ka-GE"/>
        </w:rPr>
      </w:pPr>
      <w:r w:rsidRPr="0035243C">
        <w:rPr>
          <w:b/>
          <w:lang w:val="ka-GE"/>
        </w:rPr>
        <w:t>თარიღი---</w:t>
      </w:r>
    </w:p>
    <w:p w14:paraId="3ED86077" w14:textId="77777777" w:rsidR="00707DDC" w:rsidRPr="0035243C" w:rsidRDefault="00F033FA" w:rsidP="0035243C">
      <w:pPr>
        <w:spacing w:after="0" w:line="240" w:lineRule="auto"/>
        <w:jc w:val="center"/>
        <w:rPr>
          <w:b/>
          <w:lang w:val="ka-GE"/>
        </w:rPr>
      </w:pPr>
      <w:r w:rsidRPr="0035243C">
        <w:rPr>
          <w:b/>
          <w:lang w:val="ka-GE"/>
        </w:rPr>
        <w:t>ქ. თბილისი</w:t>
      </w:r>
    </w:p>
    <w:p w14:paraId="3FC6B95F" w14:textId="468A3321" w:rsidR="00707DDC" w:rsidRPr="0035243C" w:rsidRDefault="00F033FA" w:rsidP="0035243C">
      <w:pPr>
        <w:spacing w:after="0" w:line="240" w:lineRule="auto"/>
        <w:jc w:val="center"/>
        <w:rPr>
          <w:b/>
          <w:lang w:val="ka-GE"/>
        </w:rPr>
      </w:pPr>
      <w:r w:rsidRPr="0035243C">
        <w:rPr>
          <w:b/>
          <w:lang w:val="ka-GE"/>
        </w:rPr>
        <w:t xml:space="preserve"> სისტემური მნიშვნელობის კომერციული ბანკების განსაზღვრისა და მათთვის</w:t>
      </w:r>
    </w:p>
    <w:p w14:paraId="39D0E4CC" w14:textId="07681A54" w:rsidR="00F033FA" w:rsidRPr="0035243C" w:rsidRDefault="00707DDC" w:rsidP="0035243C">
      <w:pPr>
        <w:spacing w:after="0" w:line="240" w:lineRule="auto"/>
        <w:jc w:val="center"/>
        <w:rPr>
          <w:b/>
          <w:lang w:val="ka-GE"/>
        </w:rPr>
      </w:pPr>
      <w:r w:rsidRPr="0035243C">
        <w:rPr>
          <w:b/>
          <w:lang w:val="ka-GE"/>
        </w:rPr>
        <w:t>სისტემურო</w:t>
      </w:r>
      <w:r w:rsidR="00F033FA" w:rsidRPr="0035243C">
        <w:rPr>
          <w:b/>
          <w:lang w:val="ka-GE"/>
        </w:rPr>
        <w:t>ბის ბუფერის დაწესების თაობაზე</w:t>
      </w:r>
    </w:p>
    <w:p w14:paraId="1DE63191" w14:textId="77777777" w:rsidR="00F033FA" w:rsidRPr="0035243C" w:rsidRDefault="00F033FA" w:rsidP="0035243C">
      <w:pPr>
        <w:spacing w:after="0" w:line="240" w:lineRule="auto"/>
        <w:jc w:val="both"/>
        <w:rPr>
          <w:lang w:val="ka-GE"/>
        </w:rPr>
      </w:pPr>
    </w:p>
    <w:p w14:paraId="0D50BEAA" w14:textId="56C55B7C" w:rsidR="0085582B" w:rsidRDefault="00F033FA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 xml:space="preserve">„საქართველოს ეროვნული ბანკის შესახებ“ საქართველოს ორგანული კანონის მე-15 მუხლის პირველი პუნქტის „ზ“ ქვეპუნქტისა და 49-ე მუხლის პირველი პუნქტის „ა“ ქვეპუნქტისა და მე-3 პუნქტის, „კომერციული ბანკების საქმიანობის შესახებ“ საქართველოს კანონის მე-9 მუხლის, მე-19 მუხლის პირველი </w:t>
      </w:r>
      <w:r w:rsidR="004669FD" w:rsidRPr="0035243C">
        <w:rPr>
          <w:lang w:val="ka-GE"/>
        </w:rPr>
        <w:t>პუნქტისა და</w:t>
      </w:r>
      <w:r w:rsidRPr="0035243C">
        <w:rPr>
          <w:lang w:val="ka-GE"/>
        </w:rPr>
        <w:t xml:space="preserve"> 21-ე მუხლის</w:t>
      </w:r>
      <w:r w:rsidR="004669FD" w:rsidRPr="0035243C">
        <w:rPr>
          <w:lang w:val="ka-GE"/>
        </w:rPr>
        <w:t>,</w:t>
      </w:r>
      <w:r w:rsidRPr="0035243C">
        <w:rPr>
          <w:lang w:val="ka-GE"/>
        </w:rPr>
        <w:t xml:space="preserve"> საქართველოს ეროვნული ბანკის პრეზიდენტის 2013 წლის 28 ოქტომბრის №100/04 ბრძანებით დამტკიცებული „კომერციული ბანკების კაპიტალის ადეკვატურობის მოთხოვნების შესახებ დებულების“ 8</w:t>
      </w:r>
      <w:r w:rsidRPr="0035243C">
        <w:rPr>
          <w:vertAlign w:val="superscript"/>
          <w:lang w:val="ka-GE"/>
        </w:rPr>
        <w:t>3 </w:t>
      </w:r>
      <w:r w:rsidRPr="0035243C">
        <w:rPr>
          <w:lang w:val="ka-GE"/>
        </w:rPr>
        <w:t>მუხლის</w:t>
      </w:r>
      <w:r w:rsidR="00C50DEF" w:rsidRPr="0035243C">
        <w:rPr>
          <w:lang w:val="ka-GE"/>
        </w:rPr>
        <w:t>ა და „ნორმატიული აქტების შესახებ“ საქართველოს ორგანული კანონის 25-ე მუხლის პირველი პუნქტის „ბ“ ქვეპუნქტის</w:t>
      </w:r>
      <w:r w:rsidRPr="0035243C">
        <w:rPr>
          <w:lang w:val="ka-GE"/>
        </w:rPr>
        <w:t> შესაბამისად, </w:t>
      </w:r>
      <w:r w:rsidRPr="0035243C">
        <w:rPr>
          <w:b/>
          <w:lang w:val="ka-GE"/>
        </w:rPr>
        <w:t>ვბრძანებ</w:t>
      </w:r>
      <w:r w:rsidRPr="0035243C">
        <w:rPr>
          <w:lang w:val="ka-GE"/>
        </w:rPr>
        <w:t xml:space="preserve">: </w:t>
      </w:r>
    </w:p>
    <w:p w14:paraId="6C537E1C" w14:textId="77777777" w:rsidR="003D42DD" w:rsidRPr="0035243C" w:rsidRDefault="003D42DD" w:rsidP="0035243C">
      <w:pPr>
        <w:spacing w:line="240" w:lineRule="auto"/>
        <w:jc w:val="both"/>
        <w:rPr>
          <w:lang w:val="ka-GE"/>
        </w:rPr>
      </w:pPr>
    </w:p>
    <w:p w14:paraId="376CF025" w14:textId="4596C5C6" w:rsidR="00312FB9" w:rsidRPr="0035243C" w:rsidRDefault="00F033FA" w:rsidP="0035243C">
      <w:pPr>
        <w:spacing w:line="240" w:lineRule="auto"/>
        <w:jc w:val="both"/>
        <w:rPr>
          <w:b/>
          <w:lang w:val="ka-GE"/>
        </w:rPr>
      </w:pPr>
      <w:r w:rsidRPr="0035243C">
        <w:rPr>
          <w:b/>
          <w:lang w:val="ka-GE"/>
        </w:rPr>
        <w:t xml:space="preserve">მუხლი 1 </w:t>
      </w:r>
    </w:p>
    <w:p w14:paraId="7447C23C" w14:textId="6E6DC32C" w:rsidR="00F033FA" w:rsidRPr="0035243C" w:rsidRDefault="00100229" w:rsidP="0035243C">
      <w:pPr>
        <w:spacing w:line="240" w:lineRule="auto"/>
        <w:jc w:val="both"/>
        <w:rPr>
          <w:lang w:val="ka-GE"/>
        </w:rPr>
      </w:pPr>
      <w:r>
        <w:rPr>
          <w:lang w:val="ka-GE"/>
        </w:rPr>
        <w:t xml:space="preserve">კომერციული ბანკის </w:t>
      </w:r>
      <w:r w:rsidR="008E5D4A" w:rsidRPr="0035243C">
        <w:rPr>
          <w:lang w:val="ka-GE"/>
        </w:rPr>
        <w:t xml:space="preserve">სისტემურობის ბუფერის განსაზღვრის მიზნით დადგინდეს </w:t>
      </w:r>
      <w:r w:rsidR="00312FB9" w:rsidRPr="0035243C">
        <w:rPr>
          <w:lang w:val="ka-GE"/>
        </w:rPr>
        <w:t>სისტემური მნიშვნელობის ქულ</w:t>
      </w:r>
      <w:r w:rsidR="008E5D4A" w:rsidRPr="0035243C">
        <w:rPr>
          <w:lang w:val="ka-GE"/>
        </w:rPr>
        <w:t>ები შემდეგი</w:t>
      </w:r>
      <w:r w:rsidR="009436D5" w:rsidRPr="0035243C">
        <w:rPr>
          <w:lang w:val="ka-GE"/>
        </w:rPr>
        <w:t xml:space="preserve"> ინდიკატორებითა და წონებით</w:t>
      </w:r>
      <w:r w:rsidR="008E5D4A" w:rsidRPr="0035243C">
        <w:rPr>
          <w:lang w:val="ka-GE"/>
        </w:rPr>
        <w:t>:</w:t>
      </w: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4521"/>
        <w:gridCol w:w="1327"/>
      </w:tblGrid>
      <w:tr w:rsidR="00F033FA" w:rsidRPr="0035243C" w14:paraId="56324507" w14:textId="77777777" w:rsidTr="0035243C">
        <w:trPr>
          <w:trHeight w:val="222"/>
        </w:trPr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7FF36F01" w14:textId="77777777" w:rsidR="00F033FA" w:rsidRPr="0035243C" w:rsidRDefault="00AE4D85" w:rsidP="0035243C">
            <w:pPr>
              <w:spacing w:line="240" w:lineRule="auto"/>
              <w:jc w:val="both"/>
              <w:rPr>
                <w:rFonts w:eastAsia="Times New Roman" w:cs="Times New Roman"/>
                <w:lang w:val="ka-GE"/>
              </w:rPr>
            </w:pPr>
            <w:r w:rsidRPr="0035243C">
              <w:rPr>
                <w:rFonts w:eastAsia="Times New Roman" w:cs="Times New Roman"/>
                <w:lang w:val="ka-GE"/>
              </w:rPr>
              <w:t>კრიტერიუმი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38F67944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Times New Roman"/>
                <w:lang w:val="ka-GE"/>
              </w:rPr>
            </w:pPr>
            <w:r w:rsidRPr="0035243C">
              <w:rPr>
                <w:rFonts w:eastAsia="Times New Roman" w:cs="Times New Roman"/>
                <w:lang w:val="ka-GE"/>
              </w:rPr>
              <w:t>ინდიკატორი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29701F0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წონა</w:t>
            </w:r>
          </w:p>
        </w:tc>
      </w:tr>
      <w:tr w:rsidR="00F033FA" w:rsidRPr="0035243C" w14:paraId="0F12F9B3" w14:textId="77777777" w:rsidTr="0035243C">
        <w:trPr>
          <w:trHeight w:val="222"/>
        </w:trPr>
        <w:tc>
          <w:tcPr>
            <w:tcW w:w="3355" w:type="dxa"/>
            <w:vMerge w:val="restart"/>
            <w:shd w:val="clear" w:color="auto" w:fill="auto"/>
            <w:noWrap/>
            <w:vAlign w:val="center"/>
            <w:hideMark/>
          </w:tcPr>
          <w:p w14:paraId="618F0C83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ზომა (55%)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47DFD7CE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რისკის მთლიანი პოზიცია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166C7FC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20%</w:t>
            </w:r>
          </w:p>
        </w:tc>
      </w:tr>
      <w:tr w:rsidR="00F033FA" w:rsidRPr="0035243C" w14:paraId="11DED33E" w14:textId="77777777" w:rsidTr="0035243C">
        <w:trPr>
          <w:trHeight w:val="222"/>
        </w:trPr>
        <w:tc>
          <w:tcPr>
            <w:tcW w:w="3355" w:type="dxa"/>
            <w:vMerge/>
            <w:vAlign w:val="center"/>
            <w:hideMark/>
          </w:tcPr>
          <w:p w14:paraId="6601F1E9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73AA6616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კლიენტების დეპოზიტები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B1B5027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20%</w:t>
            </w:r>
          </w:p>
        </w:tc>
      </w:tr>
      <w:tr w:rsidR="00F033FA" w:rsidRPr="0035243C" w14:paraId="404D4F67" w14:textId="77777777" w:rsidTr="0035243C">
        <w:trPr>
          <w:trHeight w:val="222"/>
        </w:trPr>
        <w:tc>
          <w:tcPr>
            <w:tcW w:w="3355" w:type="dxa"/>
            <w:vMerge/>
            <w:vAlign w:val="center"/>
            <w:hideMark/>
          </w:tcPr>
          <w:p w14:paraId="2C5ABABB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2FBA5D2B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მთლიანი შემოსავალი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B950E2B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15%</w:t>
            </w:r>
          </w:p>
        </w:tc>
      </w:tr>
      <w:tr w:rsidR="00F033FA" w:rsidRPr="0035243C" w14:paraId="7E0C9A1A" w14:textId="77777777" w:rsidTr="0035243C">
        <w:trPr>
          <w:trHeight w:val="222"/>
        </w:trPr>
        <w:tc>
          <w:tcPr>
            <w:tcW w:w="3355" w:type="dxa"/>
            <w:vMerge w:val="restart"/>
            <w:shd w:val="clear" w:color="auto" w:fill="auto"/>
            <w:noWrap/>
            <w:vAlign w:val="center"/>
            <w:hideMark/>
          </w:tcPr>
          <w:p w14:paraId="70EBFCB4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ურთიერთკავშირი (15%)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284A80E0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ბანკთაშორისი სისტემის აქტივები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D3ED20A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5%</w:t>
            </w:r>
          </w:p>
        </w:tc>
      </w:tr>
      <w:tr w:rsidR="00F033FA" w:rsidRPr="0035243C" w14:paraId="53C8B440" w14:textId="77777777" w:rsidTr="0035243C">
        <w:trPr>
          <w:trHeight w:val="222"/>
        </w:trPr>
        <w:tc>
          <w:tcPr>
            <w:tcW w:w="3355" w:type="dxa"/>
            <w:vMerge/>
            <w:vAlign w:val="center"/>
            <w:hideMark/>
          </w:tcPr>
          <w:p w14:paraId="4480DACB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1E56879F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ბანკთაშორისი სისტემის ვალდებულებები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89DAB7C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5%</w:t>
            </w:r>
          </w:p>
        </w:tc>
      </w:tr>
      <w:tr w:rsidR="00F033FA" w:rsidRPr="0035243C" w14:paraId="73018726" w14:textId="77777777" w:rsidTr="0035243C">
        <w:trPr>
          <w:trHeight w:val="222"/>
        </w:trPr>
        <w:tc>
          <w:tcPr>
            <w:tcW w:w="3355" w:type="dxa"/>
            <w:vMerge/>
            <w:vAlign w:val="center"/>
            <w:hideMark/>
          </w:tcPr>
          <w:p w14:paraId="55B7CCFF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07403300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საბითუმო დაფინანსება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4F12ABE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5%</w:t>
            </w:r>
          </w:p>
        </w:tc>
      </w:tr>
      <w:tr w:rsidR="00F033FA" w:rsidRPr="0035243C" w14:paraId="1AF0377E" w14:textId="77777777" w:rsidTr="0035243C">
        <w:trPr>
          <w:trHeight w:val="222"/>
        </w:trPr>
        <w:tc>
          <w:tcPr>
            <w:tcW w:w="3355" w:type="dxa"/>
            <w:vMerge w:val="restart"/>
            <w:shd w:val="clear" w:color="auto" w:fill="auto"/>
            <w:noWrap/>
            <w:vAlign w:val="center"/>
            <w:hideMark/>
          </w:tcPr>
          <w:p w14:paraId="1CAAABA0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ჩანაცვლებადობა (25%)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5A86E57A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ფილიალების რაოდენობა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41E56AF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10%</w:t>
            </w:r>
          </w:p>
        </w:tc>
      </w:tr>
      <w:tr w:rsidR="00F033FA" w:rsidRPr="0035243C" w14:paraId="2C255691" w14:textId="77777777" w:rsidTr="0035243C">
        <w:trPr>
          <w:trHeight w:val="222"/>
        </w:trPr>
        <w:tc>
          <w:tcPr>
            <w:tcW w:w="3355" w:type="dxa"/>
            <w:vMerge/>
            <w:vAlign w:val="center"/>
            <w:hideMark/>
          </w:tcPr>
          <w:p w14:paraId="0C8D8DEE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2D8A9CEF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დეპოზიტარების რაოდენობა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9B33C84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7.5%</w:t>
            </w:r>
          </w:p>
        </w:tc>
      </w:tr>
      <w:tr w:rsidR="00F033FA" w:rsidRPr="0035243C" w14:paraId="5A2AD230" w14:textId="77777777" w:rsidTr="0035243C">
        <w:trPr>
          <w:trHeight w:val="222"/>
        </w:trPr>
        <w:tc>
          <w:tcPr>
            <w:tcW w:w="3355" w:type="dxa"/>
            <w:vMerge/>
            <w:vAlign w:val="center"/>
            <w:hideMark/>
          </w:tcPr>
          <w:p w14:paraId="2F76BE83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79776627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მსესხებელთა რაოდენობა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496D9B4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7.5%</w:t>
            </w:r>
          </w:p>
        </w:tc>
      </w:tr>
      <w:tr w:rsidR="00F033FA" w:rsidRPr="0035243C" w14:paraId="16DAD2B5" w14:textId="77777777" w:rsidTr="0035243C">
        <w:trPr>
          <w:trHeight w:val="293"/>
        </w:trPr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37CE68C2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კომპლექსურობა (5%)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0495B4D8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ინვესტიციები კაპიტალში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E477830" w14:textId="77777777" w:rsidR="00F033FA" w:rsidRPr="0035243C" w:rsidRDefault="00F033FA" w:rsidP="0035243C">
            <w:pPr>
              <w:spacing w:line="240" w:lineRule="auto"/>
              <w:jc w:val="both"/>
              <w:rPr>
                <w:rFonts w:eastAsia="Times New Roman" w:cs="Calibri"/>
                <w:color w:val="000000"/>
                <w:lang w:val="ka-GE"/>
              </w:rPr>
            </w:pPr>
            <w:r w:rsidRPr="0035243C">
              <w:rPr>
                <w:rFonts w:eastAsia="Times New Roman" w:cs="Calibri"/>
                <w:color w:val="000000"/>
                <w:lang w:val="ka-GE"/>
              </w:rPr>
              <w:t>5%</w:t>
            </w:r>
          </w:p>
        </w:tc>
      </w:tr>
    </w:tbl>
    <w:p w14:paraId="5FEB2DB5" w14:textId="77777777" w:rsidR="0035243C" w:rsidRDefault="0035243C" w:rsidP="0035243C">
      <w:pPr>
        <w:spacing w:line="240" w:lineRule="auto"/>
        <w:jc w:val="both"/>
        <w:rPr>
          <w:b/>
          <w:lang w:val="ka-GE"/>
        </w:rPr>
      </w:pPr>
    </w:p>
    <w:p w14:paraId="729FFCB8" w14:textId="24C2CACF" w:rsidR="0035243C" w:rsidRPr="0035243C" w:rsidRDefault="00F033FA" w:rsidP="0035243C">
      <w:pPr>
        <w:spacing w:line="240" w:lineRule="auto"/>
        <w:jc w:val="both"/>
        <w:rPr>
          <w:b/>
          <w:lang w:val="ka-GE"/>
        </w:rPr>
      </w:pPr>
      <w:r w:rsidRPr="0035243C">
        <w:rPr>
          <w:b/>
          <w:lang w:val="ka-GE"/>
        </w:rPr>
        <w:t>მუხლი 2</w:t>
      </w:r>
    </w:p>
    <w:p w14:paraId="27393457" w14:textId="459F12A7" w:rsidR="00F033FA" w:rsidRPr="0035243C" w:rsidRDefault="008E5D4A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>სისტემური მნიშვნელობის</w:t>
      </w:r>
      <w:r w:rsidR="00100229">
        <w:rPr>
          <w:lang w:val="ka-GE"/>
        </w:rPr>
        <w:t xml:space="preserve"> კომერციულ</w:t>
      </w:r>
      <w:r w:rsidRPr="0035243C">
        <w:rPr>
          <w:lang w:val="ka-GE"/>
        </w:rPr>
        <w:t xml:space="preserve"> ბანკ</w:t>
      </w:r>
      <w:r w:rsidR="00FB264E">
        <w:rPr>
          <w:lang w:val="ka-GE"/>
        </w:rPr>
        <w:t>ად მიიჩნევა</w:t>
      </w:r>
      <w:r w:rsidRPr="0035243C">
        <w:rPr>
          <w:lang w:val="ka-GE"/>
        </w:rPr>
        <w:t xml:space="preserve"> კომერციული ბანკი, რომლის სისტემური მნიშვნელობის ქულა ტოლია ან აღემატება სისტემური მნიშვნელობის ქულის ზღვარს</w:t>
      </w:r>
      <w:r w:rsidR="00FB264E">
        <w:rPr>
          <w:lang w:val="ka-GE"/>
        </w:rPr>
        <w:t xml:space="preserve"> - </w:t>
      </w:r>
      <w:r w:rsidR="00337AFE" w:rsidRPr="0035243C">
        <w:rPr>
          <w:lang w:val="ka-GE"/>
        </w:rPr>
        <w:t>8%</w:t>
      </w:r>
      <w:r w:rsidR="00FB264E">
        <w:rPr>
          <w:lang w:val="ka-GE"/>
        </w:rPr>
        <w:t>-ს</w:t>
      </w:r>
      <w:r w:rsidR="00337AFE" w:rsidRPr="0035243C">
        <w:rPr>
          <w:lang w:val="ka-GE"/>
        </w:rPr>
        <w:t>.</w:t>
      </w:r>
    </w:p>
    <w:p w14:paraId="5899B53C" w14:textId="77777777" w:rsidR="0085582B" w:rsidRPr="0035243C" w:rsidRDefault="0085582B" w:rsidP="0035243C">
      <w:pPr>
        <w:spacing w:line="240" w:lineRule="auto"/>
        <w:jc w:val="both"/>
        <w:rPr>
          <w:lang w:val="ka-GE"/>
        </w:rPr>
      </w:pPr>
    </w:p>
    <w:p w14:paraId="58CD30CC" w14:textId="442E1771" w:rsidR="0035243C" w:rsidRPr="0035243C" w:rsidRDefault="00F033FA" w:rsidP="0035243C">
      <w:pPr>
        <w:spacing w:line="240" w:lineRule="auto"/>
        <w:jc w:val="both"/>
        <w:rPr>
          <w:b/>
          <w:lang w:val="ka-GE"/>
        </w:rPr>
      </w:pPr>
      <w:r w:rsidRPr="0035243C">
        <w:rPr>
          <w:b/>
          <w:lang w:val="ka-GE"/>
        </w:rPr>
        <w:t>მუხლი 3</w:t>
      </w:r>
    </w:p>
    <w:p w14:paraId="4A08CBF3" w14:textId="38D69DDD" w:rsidR="00F033FA" w:rsidRPr="0035243C" w:rsidRDefault="00337AFE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 xml:space="preserve">სისტემურობის ბუფერის გამოთვლისას მხედველობაში მიიღება </w:t>
      </w:r>
      <w:r w:rsidR="00F033FA" w:rsidRPr="0035243C">
        <w:rPr>
          <w:lang w:val="ka-GE"/>
        </w:rPr>
        <w:t>უკუგება რისკის მიხედვით შეწონილ აქტივებზე (RORWA) ზარალების ზღვარი -1</w:t>
      </w:r>
      <w:r w:rsidRPr="0035243C">
        <w:rPr>
          <w:lang w:val="ka-GE"/>
        </w:rPr>
        <w:t>%</w:t>
      </w:r>
      <w:r w:rsidR="0085582B" w:rsidRPr="0035243C">
        <w:rPr>
          <w:lang w:val="ka-GE"/>
        </w:rPr>
        <w:t>.</w:t>
      </w:r>
    </w:p>
    <w:p w14:paraId="4E850F8E" w14:textId="77777777" w:rsidR="0085582B" w:rsidRPr="0035243C" w:rsidRDefault="0085582B" w:rsidP="0035243C">
      <w:pPr>
        <w:spacing w:line="240" w:lineRule="auto"/>
        <w:jc w:val="both"/>
        <w:rPr>
          <w:lang w:val="ka-GE"/>
        </w:rPr>
      </w:pPr>
    </w:p>
    <w:p w14:paraId="5F44EC7A" w14:textId="37463413" w:rsidR="0035243C" w:rsidRPr="0035243C" w:rsidRDefault="0085582B" w:rsidP="0035243C">
      <w:pPr>
        <w:spacing w:line="240" w:lineRule="auto"/>
        <w:jc w:val="both"/>
        <w:rPr>
          <w:b/>
          <w:lang w:val="ka-GE"/>
        </w:rPr>
      </w:pPr>
      <w:r w:rsidRPr="0035243C">
        <w:rPr>
          <w:b/>
          <w:lang w:val="ka-GE"/>
        </w:rPr>
        <w:t>მუხლი 4</w:t>
      </w:r>
    </w:p>
    <w:p w14:paraId="1A9BCF48" w14:textId="4A2DC7DF" w:rsidR="0085582B" w:rsidRPr="0035243C" w:rsidRDefault="0085582B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>სისტემურობის ბუფერისთვის ბიჯი განისაზღვროს 0.5%-ით.</w:t>
      </w:r>
    </w:p>
    <w:p w14:paraId="666BBCD8" w14:textId="77777777" w:rsidR="0085582B" w:rsidRPr="0035243C" w:rsidRDefault="0085582B" w:rsidP="0035243C">
      <w:pPr>
        <w:spacing w:line="240" w:lineRule="auto"/>
        <w:jc w:val="both"/>
        <w:rPr>
          <w:lang w:val="ka-GE"/>
        </w:rPr>
      </w:pPr>
    </w:p>
    <w:p w14:paraId="15586278" w14:textId="1B489791" w:rsidR="0079033B" w:rsidRPr="0035243C" w:rsidRDefault="0085582B" w:rsidP="0035243C">
      <w:pPr>
        <w:spacing w:line="240" w:lineRule="auto"/>
        <w:jc w:val="both"/>
        <w:rPr>
          <w:b/>
          <w:lang w:val="ka-GE"/>
        </w:rPr>
      </w:pPr>
      <w:r w:rsidRPr="0035243C">
        <w:rPr>
          <w:b/>
          <w:lang w:val="ka-GE"/>
        </w:rPr>
        <w:t>მუხლი 5</w:t>
      </w:r>
      <w:r w:rsidRPr="0035243C">
        <w:rPr>
          <w:lang w:val="ka-GE"/>
        </w:rPr>
        <w:tab/>
      </w:r>
    </w:p>
    <w:p w14:paraId="2266294E" w14:textId="1F323053" w:rsidR="00DA0A4A" w:rsidRDefault="0079033B" w:rsidP="00DA0A4A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 xml:space="preserve">ამ </w:t>
      </w:r>
      <w:r w:rsidR="00DA0A4A" w:rsidRPr="0035243C">
        <w:rPr>
          <w:lang w:val="ka-GE"/>
        </w:rPr>
        <w:t>ბრძანები</w:t>
      </w:r>
      <w:r w:rsidR="00DA0A4A">
        <w:rPr>
          <w:lang w:val="ka-GE"/>
        </w:rPr>
        <w:t>თ</w:t>
      </w:r>
      <w:r w:rsidR="00DA0A4A" w:rsidRPr="0035243C">
        <w:rPr>
          <w:lang w:val="ka-GE"/>
        </w:rPr>
        <w:t xml:space="preserve"> </w:t>
      </w:r>
      <w:r w:rsidRPr="0035243C">
        <w:rPr>
          <w:lang w:val="ka-GE"/>
        </w:rPr>
        <w:t xml:space="preserve">დადგენილი მეთოდოლოგიის შესაბამისად </w:t>
      </w:r>
      <w:r w:rsidR="00F033FA" w:rsidRPr="0035243C">
        <w:rPr>
          <w:lang w:val="ka-GE"/>
        </w:rPr>
        <w:t>სისტემური მნიშვნელობის კომერციულ ბანკებად განისაზღვროს შემდეგი კომერციული </w:t>
      </w:r>
    </w:p>
    <w:p w14:paraId="5481AB22" w14:textId="71DD23D1" w:rsidR="00F033FA" w:rsidRPr="0035243C" w:rsidRDefault="00AE4D85" w:rsidP="00DA0A4A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>ბ</w:t>
      </w:r>
      <w:r w:rsidR="00F033FA" w:rsidRPr="0035243C">
        <w:rPr>
          <w:lang w:val="ka-GE"/>
        </w:rPr>
        <w:t>ანკები</w:t>
      </w:r>
      <w:r w:rsidR="0079033B" w:rsidRPr="0035243C">
        <w:rPr>
          <w:lang w:val="ka-GE"/>
        </w:rPr>
        <w:t xml:space="preserve"> და </w:t>
      </w:r>
      <w:r w:rsidR="00DA0A4A">
        <w:rPr>
          <w:lang w:val="ka-GE"/>
        </w:rPr>
        <w:t xml:space="preserve">მათ </w:t>
      </w:r>
      <w:r w:rsidR="00DA0A4A" w:rsidRPr="0035243C">
        <w:rPr>
          <w:lang w:val="ka-GE"/>
        </w:rPr>
        <w:t xml:space="preserve">სისტემურობის ბუფერი </w:t>
      </w:r>
      <w:r w:rsidR="0079033B" w:rsidRPr="0035243C">
        <w:rPr>
          <w:lang w:val="ka-GE"/>
        </w:rPr>
        <w:t>დაუწესდეთ შემდეგი განაკვეთებით:</w:t>
      </w:r>
    </w:p>
    <w:p w14:paraId="5F56F9B5" w14:textId="77777777" w:rsidR="0079033B" w:rsidRPr="0035243C" w:rsidRDefault="0079033B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 xml:space="preserve">ა) სს „თიბისი ბანკი“ – 2.5%; </w:t>
      </w:r>
    </w:p>
    <w:p w14:paraId="26B66ED2" w14:textId="77777777" w:rsidR="0079033B" w:rsidRPr="0035243C" w:rsidRDefault="0079033B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 xml:space="preserve">ბ) სს „საქართველოს ბანკი“ – 2.5%; </w:t>
      </w:r>
    </w:p>
    <w:p w14:paraId="3FC62E81" w14:textId="77777777" w:rsidR="0079033B" w:rsidRPr="0035243C" w:rsidRDefault="0079033B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>გ) სს „ლიბერთი ბანკი“ – 1%.</w:t>
      </w:r>
    </w:p>
    <w:p w14:paraId="05E902B7" w14:textId="71F32BD2" w:rsidR="0079033B" w:rsidRPr="0035243C" w:rsidRDefault="0079033B" w:rsidP="0035243C">
      <w:pPr>
        <w:spacing w:line="240" w:lineRule="auto"/>
        <w:jc w:val="both"/>
        <w:rPr>
          <w:lang w:val="ka-GE"/>
        </w:rPr>
      </w:pPr>
    </w:p>
    <w:p w14:paraId="148F2BE8" w14:textId="4AEB6746" w:rsidR="0079033B" w:rsidRPr="0035243C" w:rsidRDefault="0079033B" w:rsidP="0035243C">
      <w:pPr>
        <w:spacing w:line="240" w:lineRule="auto"/>
        <w:jc w:val="both"/>
        <w:rPr>
          <w:lang w:val="ka-GE"/>
        </w:rPr>
      </w:pPr>
      <w:r w:rsidRPr="0035243C">
        <w:rPr>
          <w:b/>
          <w:lang w:val="ka-GE"/>
        </w:rPr>
        <w:t>მუხლი 6</w:t>
      </w:r>
    </w:p>
    <w:p w14:paraId="59804C69" w14:textId="66347934" w:rsidR="003C359A" w:rsidRPr="0035243C" w:rsidRDefault="0079033B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 xml:space="preserve">თუ </w:t>
      </w:r>
      <w:r w:rsidR="00100229">
        <w:rPr>
          <w:lang w:val="ka-GE"/>
        </w:rPr>
        <w:t xml:space="preserve">კომერციული </w:t>
      </w:r>
      <w:r w:rsidRPr="0035243C">
        <w:rPr>
          <w:lang w:val="ka-GE"/>
        </w:rPr>
        <w:t xml:space="preserve">ბანკის არასაბანკო დეპოზიტების საბალანსო ღირებულების წილი მთლიან ასეთ დეპოზიტებში წინა 3 თანმიმდევრული თვის (T-1, T-2, T-3) საშუალო მონაცემის მიხედვით გაუტოლდება ან გადააჭარბებს 40%-ს, შესაბამისი </w:t>
      </w:r>
      <w:r w:rsidR="00100229">
        <w:rPr>
          <w:lang w:val="ka-GE"/>
        </w:rPr>
        <w:t xml:space="preserve">კომერციული </w:t>
      </w:r>
      <w:r w:rsidRPr="0035243C">
        <w:rPr>
          <w:lang w:val="ka-GE"/>
        </w:rPr>
        <w:t>ბანკის სისტემურობის ბუფერის ზედა ზღვარი მომდევნო თვიდან (T-0) გაიზარდოს 3%-მდე, რომლის დაცვაც სავალდებულო იქნება 12 თვის შემდეგ (T+12). ხოლო, მას შემდეგ, რაც გაზრდილი ზედა ზღვრის დაცვა გახდება სავალდებულო (T+12 და შემდეგ), თუ ამავე ბანკის წინა 12 თანმიმდევრული თვის არასაბანკო დეპოზიტების წილის საშუალო მაჩვენებელი (T-0 დან T+11 ჩათვლით და ა.შ) შემცირდება 40%-იან ნიშნულის ქვემოთ, მომდევნო თვიდან მისი ბუფერის ზედა ზღვარი შემცირდეს 2.5%-მდე.</w:t>
      </w:r>
    </w:p>
    <w:p w14:paraId="799C59D2" w14:textId="77777777" w:rsidR="0079033B" w:rsidRPr="0035243C" w:rsidRDefault="0079033B" w:rsidP="0035243C">
      <w:pPr>
        <w:spacing w:line="240" w:lineRule="auto"/>
        <w:jc w:val="both"/>
        <w:rPr>
          <w:b/>
          <w:lang w:val="ka-GE"/>
        </w:rPr>
      </w:pPr>
    </w:p>
    <w:p w14:paraId="2043D5BA" w14:textId="43E5BADA" w:rsidR="0035243C" w:rsidRPr="0035243C" w:rsidRDefault="0012663B" w:rsidP="0035243C">
      <w:pPr>
        <w:spacing w:line="240" w:lineRule="auto"/>
        <w:jc w:val="both"/>
        <w:rPr>
          <w:b/>
          <w:lang w:val="ka-GE"/>
        </w:rPr>
      </w:pPr>
      <w:r w:rsidRPr="0035243C">
        <w:rPr>
          <w:b/>
          <w:lang w:val="ka-GE"/>
        </w:rPr>
        <w:t>მუხლი</w:t>
      </w:r>
      <w:r w:rsidR="00A944B6" w:rsidRPr="0035243C">
        <w:rPr>
          <w:b/>
          <w:lang w:val="ka-GE"/>
        </w:rPr>
        <w:t xml:space="preserve"> </w:t>
      </w:r>
      <w:r w:rsidR="0079033B" w:rsidRPr="0035243C">
        <w:rPr>
          <w:b/>
          <w:lang w:val="ka-GE"/>
        </w:rPr>
        <w:t>7</w:t>
      </w:r>
    </w:p>
    <w:p w14:paraId="59EFFB63" w14:textId="629D9CDE" w:rsidR="00AE4D85" w:rsidRPr="0035243C" w:rsidRDefault="0012663B" w:rsidP="0035243C">
      <w:pPr>
        <w:spacing w:line="240" w:lineRule="auto"/>
        <w:jc w:val="both"/>
        <w:rPr>
          <w:lang w:val="ka-GE"/>
        </w:rPr>
      </w:pPr>
      <w:r w:rsidRPr="0035243C">
        <w:rPr>
          <w:lang w:val="ka-GE"/>
        </w:rPr>
        <w:t>ძალადაკარგულად გამოცხადდეს „სისტემური მნიშვნელობის კომერციული ბანკების განსაზღვრისა და მათთვის სისტემურობის ბუფერის დაწესების თაობაზე“ საქართველოს ეროვნული ბანკის პრეზიდენტის 2017 წლის 18 დეკემბრის 174/04 ბრძანება.</w:t>
      </w:r>
    </w:p>
    <w:p w14:paraId="5397CA09" w14:textId="77777777" w:rsidR="0012663B" w:rsidRPr="0035243C" w:rsidRDefault="0012663B" w:rsidP="0035243C">
      <w:pPr>
        <w:spacing w:line="240" w:lineRule="auto"/>
        <w:jc w:val="both"/>
        <w:rPr>
          <w:lang w:val="ka-GE"/>
        </w:rPr>
      </w:pPr>
    </w:p>
    <w:p w14:paraId="058E7A19" w14:textId="77777777" w:rsidR="0035243C" w:rsidRDefault="00AE4D85" w:rsidP="0035243C">
      <w:pPr>
        <w:spacing w:line="240" w:lineRule="auto"/>
        <w:rPr>
          <w:lang w:val="ka-GE"/>
        </w:rPr>
      </w:pPr>
      <w:r w:rsidRPr="0035243C">
        <w:rPr>
          <w:b/>
          <w:lang w:val="ka-GE"/>
        </w:rPr>
        <w:t xml:space="preserve">მუხლი </w:t>
      </w:r>
      <w:r w:rsidR="0079033B" w:rsidRPr="0035243C">
        <w:rPr>
          <w:b/>
          <w:lang w:val="ka-GE"/>
        </w:rPr>
        <w:t>8</w:t>
      </w:r>
    </w:p>
    <w:p w14:paraId="668BF01C" w14:textId="419ED642" w:rsidR="00AE4D85" w:rsidRPr="0035243C" w:rsidRDefault="00AE4D85" w:rsidP="0035243C">
      <w:pPr>
        <w:spacing w:line="240" w:lineRule="auto"/>
        <w:rPr>
          <w:lang w:val="ka-GE"/>
        </w:rPr>
      </w:pPr>
      <w:r w:rsidRPr="0035243C">
        <w:rPr>
          <w:lang w:val="ka-GE"/>
        </w:rPr>
        <w:t xml:space="preserve">ეს ბრძანება ამოქმედდეს </w:t>
      </w:r>
      <w:r w:rsidR="009E641E" w:rsidRPr="0035243C">
        <w:rPr>
          <w:lang w:val="ka-GE"/>
        </w:rPr>
        <w:t>2023 წლის 1 იანვრიდან</w:t>
      </w:r>
      <w:r w:rsidRPr="0035243C">
        <w:rPr>
          <w:lang w:val="ka-GE"/>
        </w:rPr>
        <w:t xml:space="preserve">. </w:t>
      </w:r>
    </w:p>
    <w:bookmarkEnd w:id="0"/>
    <w:p w14:paraId="218758A3" w14:textId="77777777" w:rsidR="00AE4D85" w:rsidRPr="0035243C" w:rsidRDefault="00AE4D85" w:rsidP="0035243C">
      <w:pPr>
        <w:spacing w:after="0" w:line="240" w:lineRule="auto"/>
        <w:jc w:val="both"/>
        <w:rPr>
          <w:b/>
          <w:lang w:val="ka-GE"/>
        </w:rPr>
      </w:pPr>
    </w:p>
    <w:sectPr w:rsidR="00AE4D85" w:rsidRPr="0035243C" w:rsidSect="005670AE">
      <w:pgSz w:w="11906" w:h="16838" w:code="9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2710" w14:textId="77777777" w:rsidR="00091013" w:rsidRDefault="00091013" w:rsidP="00F033FA">
      <w:pPr>
        <w:spacing w:after="0" w:line="240" w:lineRule="auto"/>
      </w:pPr>
      <w:r>
        <w:separator/>
      </w:r>
    </w:p>
  </w:endnote>
  <w:endnote w:type="continuationSeparator" w:id="0">
    <w:p w14:paraId="7697CB2A" w14:textId="77777777" w:rsidR="00091013" w:rsidRDefault="00091013" w:rsidP="00F0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FD06" w14:textId="77777777" w:rsidR="00091013" w:rsidRDefault="00091013" w:rsidP="00F033FA">
      <w:pPr>
        <w:spacing w:after="0" w:line="240" w:lineRule="auto"/>
      </w:pPr>
      <w:r>
        <w:separator/>
      </w:r>
    </w:p>
  </w:footnote>
  <w:footnote w:type="continuationSeparator" w:id="0">
    <w:p w14:paraId="4033699D" w14:textId="77777777" w:rsidR="00091013" w:rsidRDefault="00091013" w:rsidP="00F0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87B"/>
    <w:multiLevelType w:val="hybridMultilevel"/>
    <w:tmpl w:val="FF6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091013"/>
    <w:rsid w:val="000E3910"/>
    <w:rsid w:val="00100229"/>
    <w:rsid w:val="0012663B"/>
    <w:rsid w:val="0019276B"/>
    <w:rsid w:val="001E1511"/>
    <w:rsid w:val="00263E95"/>
    <w:rsid w:val="002D68AC"/>
    <w:rsid w:val="00312FB9"/>
    <w:rsid w:val="00337AFE"/>
    <w:rsid w:val="0035243C"/>
    <w:rsid w:val="00357722"/>
    <w:rsid w:val="003C359A"/>
    <w:rsid w:val="003D42DD"/>
    <w:rsid w:val="004119D9"/>
    <w:rsid w:val="00443343"/>
    <w:rsid w:val="004669FD"/>
    <w:rsid w:val="00476B14"/>
    <w:rsid w:val="004B0A29"/>
    <w:rsid w:val="005670AE"/>
    <w:rsid w:val="00590E76"/>
    <w:rsid w:val="005D5516"/>
    <w:rsid w:val="00637AEB"/>
    <w:rsid w:val="00660190"/>
    <w:rsid w:val="006E1142"/>
    <w:rsid w:val="00707DDC"/>
    <w:rsid w:val="00711B74"/>
    <w:rsid w:val="00742127"/>
    <w:rsid w:val="0079033B"/>
    <w:rsid w:val="0085582B"/>
    <w:rsid w:val="0087388C"/>
    <w:rsid w:val="008A1B1F"/>
    <w:rsid w:val="008E5D4A"/>
    <w:rsid w:val="008F2CF1"/>
    <w:rsid w:val="009436D5"/>
    <w:rsid w:val="009E641E"/>
    <w:rsid w:val="00A04F74"/>
    <w:rsid w:val="00A1242B"/>
    <w:rsid w:val="00A20E9B"/>
    <w:rsid w:val="00A32394"/>
    <w:rsid w:val="00A944B6"/>
    <w:rsid w:val="00A9584C"/>
    <w:rsid w:val="00AE4D85"/>
    <w:rsid w:val="00B15A7B"/>
    <w:rsid w:val="00B50429"/>
    <w:rsid w:val="00B74546"/>
    <w:rsid w:val="00C50DEF"/>
    <w:rsid w:val="00C70174"/>
    <w:rsid w:val="00C931AC"/>
    <w:rsid w:val="00D10E10"/>
    <w:rsid w:val="00D768C7"/>
    <w:rsid w:val="00DA0A4A"/>
    <w:rsid w:val="00DB7085"/>
    <w:rsid w:val="00F033FA"/>
    <w:rsid w:val="00F71750"/>
    <w:rsid w:val="00F720B3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947C6"/>
  <w15:chartTrackingRefBased/>
  <w15:docId w15:val="{D3514BE0-0DAE-40B3-9471-410E355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FA"/>
  </w:style>
  <w:style w:type="paragraph" w:styleId="Footer">
    <w:name w:val="footer"/>
    <w:basedOn w:val="Normal"/>
    <w:link w:val="FooterChar"/>
    <w:uiPriority w:val="99"/>
    <w:unhideWhenUsed/>
    <w:rsid w:val="00F0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FA"/>
  </w:style>
  <w:style w:type="character" w:styleId="CommentReference">
    <w:name w:val="annotation reference"/>
    <w:basedOn w:val="DefaultParagraphFont"/>
    <w:uiPriority w:val="99"/>
    <w:semiHidden/>
    <w:unhideWhenUsed/>
    <w:rsid w:val="00F03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dGVwbmFkemVtPC9Vc2VyTmFtZT48RGF0ZVRpbWU+OS8yOS8yMDIyIDExOjU5OjUx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50EAB5CF-8BD1-4884-95E6-9989884C92C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62F2BE1-7A1C-4E50-9588-48A9FA6398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Tepnadze</dc:creator>
  <cp:keywords/>
  <dc:description/>
  <cp:lastModifiedBy>Marika Tepnadze</cp:lastModifiedBy>
  <cp:revision>5</cp:revision>
  <dcterms:created xsi:type="dcterms:W3CDTF">2022-10-12T10:01:00Z</dcterms:created>
  <dcterms:modified xsi:type="dcterms:W3CDTF">2022-10-12T10:50:00Z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20121f2e-c3b4-44cf-a6b3-3caaf4a4803c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7QfeybanilRPY5tbhhWW5s1VJi9LIsAS</vt:lpwstr>
  </property>
  <property fmtid="{D5CDD505-2E9C-101B-9397-08002B2CF9AE}" pid="6" name="bjLabelHistoryID">
    <vt:lpwstr>{50EAB5CF-8BD1-4884-95E6-9989884C92C5}</vt:lpwstr>
  </property>
</Properties>
</file>