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D58C" w14:textId="77777777" w:rsidR="00197E9D" w:rsidRPr="004D7BF2" w:rsidRDefault="00197E9D" w:rsidP="00197E9D">
      <w:pPr>
        <w:jc w:val="right"/>
        <w:rPr>
          <w:b/>
          <w:i/>
          <w:u w:val="single"/>
          <w:lang w:val="ka-GE"/>
        </w:rPr>
      </w:pPr>
      <w:r w:rsidRPr="004D7BF2">
        <w:rPr>
          <w:b/>
          <w:i/>
          <w:u w:val="single"/>
          <w:lang w:val="ka-GE"/>
        </w:rPr>
        <w:t>პროექტი</w:t>
      </w:r>
    </w:p>
    <w:p w14:paraId="15451FD3" w14:textId="77777777" w:rsidR="00197E9D" w:rsidRPr="004D7BF2" w:rsidRDefault="00197E9D" w:rsidP="00197E9D">
      <w:pPr>
        <w:jc w:val="center"/>
        <w:rPr>
          <w:b/>
          <w:lang w:val="ka-GE"/>
        </w:rPr>
      </w:pPr>
      <w:r w:rsidRPr="004D7BF2">
        <w:rPr>
          <w:b/>
          <w:lang w:val="ka-GE"/>
        </w:rPr>
        <w:t>საქართველოს კანონი</w:t>
      </w:r>
    </w:p>
    <w:p w14:paraId="483E9A12" w14:textId="287034E0" w:rsidR="00D1666F" w:rsidRPr="004D7BF2" w:rsidRDefault="008D6D2E" w:rsidP="00197E9D">
      <w:pPr>
        <w:jc w:val="center"/>
        <w:rPr>
          <w:b/>
          <w:bCs/>
          <w:lang w:val="ka-GE"/>
        </w:rPr>
      </w:pPr>
      <w:r w:rsidRPr="004D7BF2">
        <w:rPr>
          <w:b/>
          <w:bCs/>
          <w:lang w:val="ka-GE"/>
        </w:rPr>
        <w:t>„არასაბანკო სადეპოზიტო დაწესებულებების – საკრედიტო კავშირების შესახებ“ საქართველოს კანონში ცვლილების შეტანის თაობაზე</w:t>
      </w:r>
    </w:p>
    <w:p w14:paraId="3AD41001" w14:textId="77777777" w:rsidR="008D6D2E" w:rsidRPr="004D7BF2" w:rsidRDefault="008D6D2E" w:rsidP="00FA1F91">
      <w:pPr>
        <w:jc w:val="both"/>
        <w:rPr>
          <w:b/>
          <w:bCs/>
          <w:lang w:val="ka-GE"/>
        </w:rPr>
      </w:pPr>
      <w:r w:rsidRPr="004D7BF2">
        <w:rPr>
          <w:b/>
          <w:bCs/>
          <w:lang w:val="ka-GE"/>
        </w:rPr>
        <w:t xml:space="preserve">მუხლი 1. </w:t>
      </w:r>
      <w:r w:rsidRPr="004D7BF2">
        <w:rPr>
          <w:bCs/>
          <w:lang w:val="ka-GE"/>
        </w:rPr>
        <w:t>„არასაბანკო სადეპოზიტო დაწესებულებების – საკრედიტო კავშირების შესახებ“ საქართველოს კანონში (საქართველოს საკანონმდებლო მაცნე, №23, 24.07.2002, მუხ. 104) შეტანილ იქნეს შემდეგი ცვლილება:</w:t>
      </w:r>
    </w:p>
    <w:p w14:paraId="20EC421C" w14:textId="0E720844" w:rsidR="00FA1F91" w:rsidRPr="004D7BF2" w:rsidRDefault="00D1666F" w:rsidP="008D6D2E">
      <w:pPr>
        <w:pStyle w:val="ListParagraph"/>
        <w:numPr>
          <w:ilvl w:val="0"/>
          <w:numId w:val="9"/>
        </w:numPr>
        <w:jc w:val="both"/>
        <w:rPr>
          <w:b/>
          <w:lang w:val="ka-GE"/>
        </w:rPr>
      </w:pPr>
      <w:r w:rsidRPr="004D7BF2">
        <w:rPr>
          <w:b/>
          <w:lang w:val="ka-GE"/>
        </w:rPr>
        <w:t>მე</w:t>
      </w:r>
      <w:r w:rsidR="008D6D2E" w:rsidRPr="004D7BF2">
        <w:rPr>
          <w:b/>
          <w:lang w:val="ka-GE"/>
        </w:rPr>
        <w:t>-12 მუხლი</w:t>
      </w:r>
      <w:r w:rsidRPr="004D7BF2">
        <w:rPr>
          <w:b/>
          <w:lang w:val="ka-GE"/>
        </w:rPr>
        <w:t xml:space="preserve"> ჩ</w:t>
      </w:r>
      <w:r w:rsidR="00FA1F91" w:rsidRPr="004D7BF2">
        <w:rPr>
          <w:b/>
          <w:lang w:val="ka-GE"/>
        </w:rPr>
        <w:t>ა</w:t>
      </w:r>
      <w:r w:rsidRPr="004D7BF2">
        <w:rPr>
          <w:b/>
          <w:lang w:val="ka-GE"/>
        </w:rPr>
        <w:t>მოყალიბდეს შემდეგი რედაქციით</w:t>
      </w:r>
      <w:r w:rsidR="008D6D2E" w:rsidRPr="004D7BF2">
        <w:rPr>
          <w:b/>
          <w:lang w:val="ka-GE"/>
        </w:rPr>
        <w:t>:</w:t>
      </w:r>
    </w:p>
    <w:p w14:paraId="379B7D4D" w14:textId="77647E84" w:rsidR="008D6D2E" w:rsidRPr="004D7BF2" w:rsidRDefault="008D6D2E" w:rsidP="00CD6AEE">
      <w:pPr>
        <w:spacing w:after="120"/>
        <w:contextualSpacing/>
        <w:jc w:val="both"/>
        <w:rPr>
          <w:b/>
          <w:bCs/>
          <w:lang w:val="ka-GE"/>
        </w:rPr>
      </w:pPr>
      <w:r w:rsidRPr="004D7BF2">
        <w:rPr>
          <w:b/>
          <w:lang w:val="ka-GE"/>
        </w:rPr>
        <w:t>„</w:t>
      </w:r>
      <w:bookmarkStart w:id="0" w:name="part_15"/>
      <w:r w:rsidRPr="004D7BF2">
        <w:rPr>
          <w:b/>
          <w:bCs/>
          <w:lang w:val="ka-GE"/>
        </w:rPr>
        <w:fldChar w:fldCharType="begin"/>
      </w:r>
      <w:r w:rsidRPr="004D7BF2">
        <w:rPr>
          <w:b/>
          <w:bCs/>
          <w:lang w:val="ka-GE"/>
        </w:rPr>
        <w:instrText xml:space="preserve"> HYPERLINK "https://matsne.gov.ge/document/view/1894?publication=13" \l "!" </w:instrText>
      </w:r>
      <w:r w:rsidRPr="004D7BF2">
        <w:rPr>
          <w:b/>
          <w:bCs/>
          <w:lang w:val="ka-GE"/>
        </w:rPr>
        <w:fldChar w:fldCharType="separate"/>
      </w:r>
      <w:r w:rsidRPr="004D7BF2">
        <w:rPr>
          <w:rStyle w:val="Hyperlink"/>
          <w:b/>
          <w:bCs/>
          <w:color w:val="auto"/>
          <w:u w:val="none"/>
          <w:lang w:val="ka-GE"/>
        </w:rPr>
        <w:t>მუხლი 12. ინტერესთა კონფლიქტი</w:t>
      </w:r>
      <w:r w:rsidRPr="004D7BF2">
        <w:rPr>
          <w:b/>
          <w:lang w:val="ka-GE"/>
        </w:rPr>
        <w:fldChar w:fldCharType="end"/>
      </w:r>
      <w:bookmarkEnd w:id="0"/>
    </w:p>
    <w:p w14:paraId="6322D3EE" w14:textId="4054B889" w:rsidR="008D6D2E" w:rsidRPr="004D7BF2" w:rsidRDefault="008D6D2E" w:rsidP="00CD6AEE">
      <w:pPr>
        <w:spacing w:after="120"/>
        <w:contextualSpacing/>
        <w:jc w:val="both"/>
        <w:rPr>
          <w:lang w:val="ka-GE"/>
        </w:rPr>
      </w:pPr>
      <w:r w:rsidRPr="004D7BF2">
        <w:rPr>
          <w:lang w:val="ka-GE"/>
        </w:rPr>
        <w:t xml:space="preserve">საკრედიტო კავშირის სამეთვალყურეო საბჭოს და გამგეობის წევრი არ შეიძლება იყოს </w:t>
      </w:r>
      <w:r w:rsidR="00F954B1">
        <w:rPr>
          <w:lang w:val="ka-GE"/>
        </w:rPr>
        <w:t>კომერციული ბანკი</w:t>
      </w:r>
      <w:r w:rsidR="00082143">
        <w:rPr>
          <w:lang w:val="ka-GE"/>
        </w:rPr>
        <w:t>ს</w:t>
      </w:r>
      <w:r w:rsidR="00F954B1">
        <w:rPr>
          <w:lang w:val="ka-GE"/>
        </w:rPr>
        <w:t>, მიკრო</w:t>
      </w:r>
      <w:r w:rsidR="00F954B1" w:rsidRPr="004D7BF2">
        <w:rPr>
          <w:lang w:val="ka-GE"/>
        </w:rPr>
        <w:t xml:space="preserve"> </w:t>
      </w:r>
      <w:r w:rsidRPr="004D7BF2">
        <w:rPr>
          <w:lang w:val="ka-GE"/>
        </w:rPr>
        <w:t>ბანკის ან სხვა საკრედიტო კავშირის სამეთვალყურეო საბჭოს ან გამგეობის წევრი. ამასთან, პირს ეკრძალება იყოს საკრედიტო კავშირის გამგეობის წევრი, თუ:</w:t>
      </w:r>
    </w:p>
    <w:p w14:paraId="4A292CF3" w14:textId="43040632" w:rsidR="008D6D2E" w:rsidRPr="004D7BF2" w:rsidRDefault="008D6D2E" w:rsidP="00CD6AEE">
      <w:pPr>
        <w:spacing w:after="120"/>
        <w:contextualSpacing/>
        <w:jc w:val="both"/>
        <w:rPr>
          <w:lang w:val="ka-GE"/>
        </w:rPr>
      </w:pPr>
      <w:r w:rsidRPr="004D7BF2">
        <w:rPr>
          <w:lang w:val="ka-GE"/>
        </w:rPr>
        <w:t>ა) იგი მონაწილეობდა ოპერაციაში, რომელმაც მნიშვნელოვანი ზიანი მიაყენა კომერციულ ბანკს, მიკრო ბანკს ან სხვა საკრედიტო კავშირს;</w:t>
      </w:r>
    </w:p>
    <w:p w14:paraId="28AE37CD" w14:textId="4283C4BA" w:rsidR="008D6D2E" w:rsidRPr="004D7BF2" w:rsidRDefault="008D6D2E" w:rsidP="00CD6AEE">
      <w:pPr>
        <w:spacing w:after="120"/>
        <w:contextualSpacing/>
        <w:jc w:val="both"/>
        <w:rPr>
          <w:lang w:val="ka-GE"/>
        </w:rPr>
      </w:pPr>
      <w:r w:rsidRPr="004D7BF2">
        <w:rPr>
          <w:lang w:val="ka-GE"/>
        </w:rPr>
        <w:t>ბ) კომერციულ ბანკში, მიკრო ბანკში ან სხვა საკრედიტო კავშირში სამსახურებრივი მოვალეობების შესრულებისას ბოროტად გამოიყენა უფლებამოსილება;</w:t>
      </w:r>
    </w:p>
    <w:p w14:paraId="3E9F7EED" w14:textId="04DE252E" w:rsidR="008D6D2E" w:rsidRPr="004D7BF2" w:rsidRDefault="008D6D2E" w:rsidP="00CD6AEE">
      <w:pPr>
        <w:spacing w:after="120"/>
        <w:contextualSpacing/>
        <w:jc w:val="both"/>
        <w:rPr>
          <w:lang w:val="ka-GE"/>
        </w:rPr>
      </w:pPr>
      <w:r w:rsidRPr="004D7BF2">
        <w:rPr>
          <w:lang w:val="ka-GE"/>
        </w:rPr>
        <w:t>გ) წარსულში იყო კომერციული ბანკის, მიკრო ბანკის ან სხვა საკრედიტო კავშირის ადმინისტრატორი და მისი საქმიანობის შედეგად კომერციული ბანკი, მიკრო ბანკი ან სხვა საკრედიტო კავშირი გახდა გადახდისუუნარო;</w:t>
      </w:r>
    </w:p>
    <w:p w14:paraId="07D52092" w14:textId="5829FEEC" w:rsidR="008D6D2E" w:rsidRPr="004D7BF2" w:rsidRDefault="008D6D2E" w:rsidP="00CD6AEE">
      <w:pPr>
        <w:spacing w:after="120"/>
        <w:contextualSpacing/>
        <w:jc w:val="both"/>
        <w:rPr>
          <w:lang w:val="ka-GE"/>
        </w:rPr>
      </w:pPr>
      <w:r w:rsidRPr="004D7BF2">
        <w:rPr>
          <w:lang w:val="ka-GE"/>
        </w:rPr>
        <w:t>დ) არ შეასრულა ფინანსური ვალდებულება რომელიმე კომერციული ბანკის, მიკრო ბანკის ან სხვა საკრედიტო კავშირის მიმართ;</w:t>
      </w:r>
    </w:p>
    <w:p w14:paraId="164F25AF" w14:textId="164687C5" w:rsidR="008D6D2E" w:rsidRDefault="008D6D2E" w:rsidP="00CD6AEE">
      <w:pPr>
        <w:spacing w:after="120"/>
        <w:contextualSpacing/>
        <w:jc w:val="both"/>
        <w:rPr>
          <w:lang w:val="ka-GE"/>
        </w:rPr>
      </w:pPr>
      <w:r w:rsidRPr="004D7BF2">
        <w:rPr>
          <w:lang w:val="ka-GE"/>
        </w:rPr>
        <w:t>ე) მასზე ვრცელდება ამ კანონით გათვალისწინებული სხვა აკრძალვები.“.</w:t>
      </w:r>
    </w:p>
    <w:p w14:paraId="2AD3550D" w14:textId="77777777" w:rsidR="00CD6AEE" w:rsidRPr="004D7BF2" w:rsidRDefault="00CD6AEE" w:rsidP="00CD6AEE">
      <w:pPr>
        <w:spacing w:after="120"/>
        <w:contextualSpacing/>
        <w:jc w:val="both"/>
        <w:rPr>
          <w:lang w:val="ka-GE"/>
        </w:rPr>
      </w:pPr>
    </w:p>
    <w:p w14:paraId="1B54FC62" w14:textId="20B80E5F" w:rsidR="008D6D2E" w:rsidRPr="004D7BF2" w:rsidRDefault="008D6D2E" w:rsidP="004D7BF2">
      <w:pPr>
        <w:pStyle w:val="ListParagraph"/>
        <w:numPr>
          <w:ilvl w:val="0"/>
          <w:numId w:val="9"/>
        </w:numPr>
        <w:tabs>
          <w:tab w:val="left" w:pos="360"/>
        </w:tabs>
        <w:ind w:left="0" w:firstLine="360"/>
        <w:jc w:val="both"/>
        <w:rPr>
          <w:b/>
          <w:lang w:val="ka-GE"/>
        </w:rPr>
      </w:pPr>
      <w:r w:rsidRPr="004D7BF2">
        <w:rPr>
          <w:b/>
          <w:lang w:val="ka-GE"/>
        </w:rPr>
        <w:t>მე-17 მუხლის პირველი პუნქტის „ბ“ ქვეპუნქტი ჩამოყალიბდეს შემდეგი რედაქციით:</w:t>
      </w:r>
    </w:p>
    <w:p w14:paraId="500C24C8" w14:textId="12F35910" w:rsidR="008D6D2E" w:rsidRPr="004D7BF2" w:rsidRDefault="008D6D2E" w:rsidP="008D6D2E">
      <w:pPr>
        <w:jc w:val="both"/>
        <w:rPr>
          <w:lang w:val="ka-GE"/>
        </w:rPr>
      </w:pPr>
      <w:r w:rsidRPr="004D7BF2">
        <w:rPr>
          <w:lang w:val="ka-GE"/>
        </w:rPr>
        <w:t>„ბ) კომერციულ ბანკებში, მიკრო ბანკებში მოკლევადიანი დეპოზიტების სახით;“.</w:t>
      </w:r>
    </w:p>
    <w:p w14:paraId="6CF55421" w14:textId="56181BD4" w:rsidR="008D6D2E" w:rsidRPr="004D7BF2" w:rsidRDefault="008D6D2E" w:rsidP="008D6D2E">
      <w:pPr>
        <w:jc w:val="both"/>
        <w:rPr>
          <w:b/>
          <w:lang w:val="ka-GE"/>
        </w:rPr>
      </w:pPr>
    </w:p>
    <w:p w14:paraId="3FE3CF0A" w14:textId="77777777" w:rsidR="00AF4934" w:rsidRPr="004D7BF2" w:rsidRDefault="00AF4934" w:rsidP="00AF4934">
      <w:pPr>
        <w:jc w:val="both"/>
        <w:rPr>
          <w:lang w:val="ka-GE"/>
        </w:rPr>
      </w:pPr>
      <w:r w:rsidRPr="004D7BF2">
        <w:rPr>
          <w:b/>
          <w:lang w:val="ka-GE"/>
        </w:rPr>
        <w:t>მუხლი 2.</w:t>
      </w:r>
      <w:r w:rsidRPr="004D7BF2">
        <w:rPr>
          <w:lang w:val="ka-GE"/>
        </w:rPr>
        <w:t xml:space="preserve"> ეს კანონი ამოქმედდეს გამოქვეყნებიდან 6 თვის შემდეგ.</w:t>
      </w:r>
    </w:p>
    <w:p w14:paraId="218A89A0" w14:textId="77777777" w:rsidR="00AF4934" w:rsidRPr="004D7BF2" w:rsidRDefault="00AF4934" w:rsidP="00AF4934">
      <w:pPr>
        <w:jc w:val="both"/>
        <w:rPr>
          <w:lang w:val="ka-GE"/>
        </w:rPr>
      </w:pPr>
    </w:p>
    <w:p w14:paraId="5ACE948B" w14:textId="27D55AF6" w:rsidR="00AF4934" w:rsidRPr="00C27943" w:rsidRDefault="00AF4934" w:rsidP="00AF4934">
      <w:pPr>
        <w:jc w:val="both"/>
        <w:rPr>
          <w:b/>
          <w:i/>
          <w:lang w:val="ka-GE"/>
        </w:rPr>
      </w:pPr>
      <w:r w:rsidRPr="004D7BF2">
        <w:rPr>
          <w:b/>
          <w:lang w:val="ka-GE"/>
        </w:rPr>
        <w:t>საქართველოს პრეზიდენტი</w:t>
      </w:r>
      <w:r w:rsidRPr="004D7BF2">
        <w:rPr>
          <w:b/>
          <w:lang w:val="ka-GE"/>
        </w:rPr>
        <w:tab/>
      </w:r>
      <w:r w:rsidRPr="004D7BF2">
        <w:rPr>
          <w:b/>
          <w:lang w:val="ka-GE"/>
        </w:rPr>
        <w:tab/>
        <w:t xml:space="preserve">                                                         </w:t>
      </w:r>
      <w:r w:rsidRPr="00C27943">
        <w:rPr>
          <w:b/>
          <w:i/>
          <w:lang w:val="ka-GE"/>
        </w:rPr>
        <w:t>სალომე ზურაბიშვილი</w:t>
      </w:r>
    </w:p>
    <w:p w14:paraId="3F0F5A25" w14:textId="4B0221EB" w:rsidR="00BC5BBA" w:rsidRDefault="00BC5BBA" w:rsidP="00AF4934">
      <w:pPr>
        <w:jc w:val="both"/>
        <w:rPr>
          <w:b/>
          <w:lang w:val="ka-GE"/>
        </w:rPr>
      </w:pPr>
    </w:p>
    <w:p w14:paraId="78241EFF" w14:textId="77777777" w:rsidR="00DB2887" w:rsidRDefault="00DB2887" w:rsidP="00BC5BBA">
      <w:pPr>
        <w:spacing w:line="256" w:lineRule="auto"/>
        <w:jc w:val="center"/>
        <w:rPr>
          <w:rFonts w:eastAsia="Calibri" w:cs="Times New Roman"/>
          <w:b/>
          <w:lang w:val="ka-GE"/>
        </w:rPr>
      </w:pPr>
    </w:p>
    <w:p w14:paraId="7831BB9B" w14:textId="77777777" w:rsidR="00DB2887" w:rsidRDefault="00DB2887" w:rsidP="00BC5BBA">
      <w:pPr>
        <w:spacing w:line="256" w:lineRule="auto"/>
        <w:jc w:val="center"/>
        <w:rPr>
          <w:rFonts w:eastAsia="Calibri" w:cs="Times New Roman"/>
          <w:b/>
          <w:lang w:val="ka-GE"/>
        </w:rPr>
      </w:pPr>
    </w:p>
    <w:p w14:paraId="71654AC1" w14:textId="77777777" w:rsidR="00DB2887" w:rsidRDefault="00DB2887" w:rsidP="00BC5BBA">
      <w:pPr>
        <w:spacing w:line="256" w:lineRule="auto"/>
        <w:jc w:val="center"/>
        <w:rPr>
          <w:rFonts w:eastAsia="Calibri" w:cs="Times New Roman"/>
          <w:b/>
          <w:lang w:val="ka-GE"/>
        </w:rPr>
      </w:pPr>
    </w:p>
    <w:p w14:paraId="60CC452B" w14:textId="77777777" w:rsidR="001455BD" w:rsidRDefault="001455BD" w:rsidP="00BC5BBA">
      <w:pPr>
        <w:spacing w:line="256" w:lineRule="auto"/>
        <w:jc w:val="center"/>
        <w:rPr>
          <w:rFonts w:eastAsia="Calibri" w:cs="Times New Roman"/>
          <w:b/>
          <w:lang w:val="ka-GE"/>
        </w:rPr>
      </w:pPr>
    </w:p>
    <w:p w14:paraId="234B8C91" w14:textId="77777777" w:rsidR="005E1D1A" w:rsidRDefault="005E1D1A" w:rsidP="00BC5BBA">
      <w:pPr>
        <w:spacing w:line="256" w:lineRule="auto"/>
        <w:jc w:val="center"/>
        <w:rPr>
          <w:rFonts w:eastAsia="Calibri" w:cs="Times New Roman"/>
          <w:b/>
          <w:lang w:val="ka-GE"/>
        </w:rPr>
      </w:pPr>
    </w:p>
    <w:p w14:paraId="54146CCC" w14:textId="082234AD" w:rsidR="00BC5BBA" w:rsidRPr="00DD379D" w:rsidRDefault="00BC5BBA" w:rsidP="00BC5BBA">
      <w:pPr>
        <w:spacing w:line="256" w:lineRule="auto"/>
        <w:jc w:val="center"/>
        <w:rPr>
          <w:rFonts w:eastAsia="Calibri" w:cs="Times New Roman"/>
          <w:b/>
          <w:lang w:val="ka-GE"/>
        </w:rPr>
      </w:pPr>
      <w:r w:rsidRPr="00DD379D">
        <w:rPr>
          <w:rFonts w:eastAsia="Calibri" w:cs="Times New Roman"/>
          <w:b/>
          <w:lang w:val="ka-GE"/>
        </w:rPr>
        <w:lastRenderedPageBreak/>
        <w:t>განმარტებითი ბარათი</w:t>
      </w:r>
    </w:p>
    <w:p w14:paraId="2E9EBEE1" w14:textId="77777777" w:rsidR="00BC5BBA" w:rsidRPr="00DD379D" w:rsidRDefault="00BC5BBA" w:rsidP="00BC5BBA">
      <w:pPr>
        <w:jc w:val="center"/>
        <w:rPr>
          <w:b/>
          <w:bCs/>
          <w:lang w:val="ka-GE"/>
        </w:rPr>
      </w:pPr>
      <w:r w:rsidRPr="004D7BF2">
        <w:rPr>
          <w:b/>
          <w:bCs/>
          <w:lang w:val="ka-GE"/>
        </w:rPr>
        <w:t>„არასაბანკო სადეპოზიტო დაწესებულებების – საკრედიტო კავშირების შესახებ“ საქართველოს კანონში ცვლილების შეტანის თაობაზე</w:t>
      </w:r>
      <w:r>
        <w:rPr>
          <w:b/>
          <w:bCs/>
          <w:lang w:val="ka-GE"/>
        </w:rPr>
        <w:t xml:space="preserve">“ </w:t>
      </w:r>
      <w:r w:rsidRPr="00DD379D">
        <w:rPr>
          <w:rFonts w:eastAsia="Calibri" w:cs="Times New Roman"/>
          <w:b/>
          <w:lang w:val="ka-GE"/>
        </w:rPr>
        <w:t>საქართველოს კანონის პროექტზე</w:t>
      </w:r>
    </w:p>
    <w:p w14:paraId="1B0D7F61" w14:textId="77777777" w:rsidR="00BC5BBA" w:rsidRPr="00DD379D" w:rsidRDefault="00BC5BBA" w:rsidP="00BC5BBA">
      <w:pPr>
        <w:spacing w:line="256" w:lineRule="auto"/>
        <w:jc w:val="both"/>
        <w:rPr>
          <w:rFonts w:eastAsia="Calibri" w:cs="Times New Roman"/>
          <w:b/>
          <w:lang w:val="ka-GE"/>
        </w:rPr>
      </w:pPr>
    </w:p>
    <w:p w14:paraId="6FDC6435"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b/>
          <w:lang w:val="ka-GE"/>
        </w:rPr>
        <w:t>ა) ზოგადი ინფორმაცია კანონპროექტის შესახებ:</w:t>
      </w:r>
      <w:r w:rsidRPr="00DD379D">
        <w:rPr>
          <w:rFonts w:eastAsia="Calibri" w:cs="Times New Roman"/>
          <w:lang w:val="ka-GE"/>
        </w:rPr>
        <w:t xml:space="preserve"> </w:t>
      </w:r>
    </w:p>
    <w:p w14:paraId="74FD3964"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b/>
          <w:lang w:val="ka-GE"/>
        </w:rPr>
        <w:t>ა.ა) კანონპროექტის მიღების მიზეზი:</w:t>
      </w:r>
      <w:r w:rsidRPr="00DD379D">
        <w:rPr>
          <w:rFonts w:eastAsia="Calibri" w:cs="Times New Roman"/>
          <w:lang w:val="ka-GE"/>
        </w:rPr>
        <w:t xml:space="preserve"> </w:t>
      </w:r>
    </w:p>
    <w:p w14:paraId="318FA026"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b/>
          <w:lang w:val="ka-GE"/>
        </w:rPr>
        <w:t>ა.ა.ა) პრობლემა, რომლის გადაჭრასაც მიზნად ისახავს კანონპროექტი:</w:t>
      </w:r>
      <w:r w:rsidRPr="00DD379D">
        <w:rPr>
          <w:rFonts w:eastAsia="Calibri" w:cs="Times New Roman"/>
          <w:lang w:val="ka-GE"/>
        </w:rPr>
        <w:t xml:space="preserve"> </w:t>
      </w:r>
    </w:p>
    <w:p w14:paraId="6DFF9E27"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026341E5" w14:textId="77777777" w:rsidR="00BC5BBA" w:rsidRPr="00DD379D" w:rsidRDefault="00BC5BBA" w:rsidP="00BC5BBA">
      <w:pPr>
        <w:spacing w:line="252" w:lineRule="auto"/>
        <w:jc w:val="both"/>
        <w:rPr>
          <w:rFonts w:eastAsia="Calibri" w:cs="Times New Roman"/>
          <w:b/>
          <w:lang w:val="ka-GE"/>
        </w:rPr>
      </w:pPr>
    </w:p>
    <w:p w14:paraId="34E3AE42" w14:textId="77777777" w:rsidR="00BC5BBA" w:rsidRPr="00DD379D" w:rsidRDefault="00BC5BBA" w:rsidP="00BC5BBA">
      <w:pPr>
        <w:spacing w:line="252" w:lineRule="auto"/>
        <w:contextualSpacing/>
        <w:jc w:val="both"/>
        <w:rPr>
          <w:rFonts w:eastAsia="Calibri" w:cs="Times New Roman"/>
          <w:b/>
          <w:lang w:val="ka-GE"/>
        </w:rPr>
      </w:pPr>
      <w:r w:rsidRPr="00DD379D">
        <w:rPr>
          <w:rFonts w:eastAsia="Calibri" w:cs="Times New Roman"/>
          <w:b/>
          <w:lang w:val="ka-GE"/>
        </w:rPr>
        <w:t>ა.ა.ბ) არსებული პრობლემის გადასაჭრელად კანონის მიღების აუცილებლობა:</w:t>
      </w:r>
    </w:p>
    <w:p w14:paraId="1DA0D912" w14:textId="77777777" w:rsidR="00BC5BBA" w:rsidRPr="00DD379D" w:rsidRDefault="00BC5BBA" w:rsidP="00BC5BBA">
      <w:pPr>
        <w:spacing w:line="252" w:lineRule="auto"/>
        <w:contextualSpacing/>
        <w:jc w:val="both"/>
        <w:rPr>
          <w:rFonts w:eastAsia="Calibri" w:cs="Times New Roman"/>
          <w:b/>
          <w:lang w:val="ka-GE"/>
        </w:rPr>
      </w:pPr>
      <w:r w:rsidRPr="00A026BE">
        <w:rPr>
          <w:rFonts w:eastAsia="Calibri" w:cs="Times New Roman"/>
          <w:lang w:val="ka-GE"/>
        </w:rPr>
        <w:t xml:space="preserve">„არასაბანკო სადეპოზიტო დაწესებულებების – საკრედიტო კავშირების შესახებ“ საქართველოს კანონში </w:t>
      </w:r>
      <w:r w:rsidRPr="00DD379D">
        <w:rPr>
          <w:rFonts w:eastAsia="Calibri" w:cs="Times New Roman"/>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3EB44FC5" w14:textId="77777777" w:rsidR="00BC5BBA" w:rsidRPr="00DD379D" w:rsidRDefault="00BC5BBA" w:rsidP="00BC5BBA">
      <w:pPr>
        <w:spacing w:line="252" w:lineRule="auto"/>
        <w:jc w:val="both"/>
        <w:rPr>
          <w:rFonts w:eastAsia="Calibri" w:cs="Times New Roman"/>
          <w:b/>
          <w:lang w:val="ka-GE"/>
        </w:rPr>
      </w:pPr>
    </w:p>
    <w:p w14:paraId="2665164E" w14:textId="77777777" w:rsidR="00BC5BBA" w:rsidRPr="00DD379D" w:rsidRDefault="00BC5BBA" w:rsidP="00BC5BBA">
      <w:pPr>
        <w:spacing w:line="252" w:lineRule="auto"/>
        <w:ind w:right="90"/>
        <w:contextualSpacing/>
        <w:jc w:val="both"/>
        <w:rPr>
          <w:rFonts w:eastAsia="Calibri" w:cs="Times New Roman"/>
          <w:lang w:val="ka-GE"/>
        </w:rPr>
      </w:pPr>
      <w:r w:rsidRPr="00DD379D">
        <w:rPr>
          <w:rFonts w:eastAsia="Calibri" w:cs="Times New Roman"/>
          <w:b/>
          <w:lang w:val="ka-GE"/>
        </w:rPr>
        <w:t>ა.ბ) კანონპროექტის მოსალოდნელი შედეგები:</w:t>
      </w:r>
      <w:r w:rsidRPr="00DD379D">
        <w:rPr>
          <w:rFonts w:eastAsia="Calibri" w:cs="Times New Roman"/>
          <w:lang w:val="ka-GE"/>
        </w:rPr>
        <w:t xml:space="preserve"> </w:t>
      </w:r>
    </w:p>
    <w:p w14:paraId="0F156ABB" w14:textId="77777777" w:rsidR="00BC5BBA" w:rsidRPr="00DD379D" w:rsidRDefault="00BC5BBA" w:rsidP="00BC5BBA">
      <w:pPr>
        <w:spacing w:line="252" w:lineRule="auto"/>
        <w:ind w:right="90"/>
        <w:contextualSpacing/>
        <w:jc w:val="both"/>
        <w:rPr>
          <w:rFonts w:eastAsia="Calibri" w:cs="Times New Roman"/>
          <w:lang w:val="ka-GE"/>
        </w:rPr>
      </w:pPr>
      <w:r w:rsidRPr="00DD379D">
        <w:rPr>
          <w:rFonts w:eastAsia="Calibri" w:cs="Times New Roman"/>
          <w:lang w:val="ka-GE"/>
        </w:rPr>
        <w:t xml:space="preserve">კანონპროექტის მიღებით, </w:t>
      </w:r>
      <w:r w:rsidRPr="000A0DAB">
        <w:rPr>
          <w:rFonts w:eastAsia="Calibri" w:cs="Times New Roman"/>
          <w:lang w:val="ka-GE"/>
        </w:rPr>
        <w:t>„არასაბანკო სადეპოზიტო დაწესებულებების – საკრედიტო კავშირების შესახებ</w:t>
      </w:r>
      <w:r>
        <w:rPr>
          <w:rFonts w:eastAsia="Calibri" w:cs="Times New Roman"/>
          <w:lang w:val="ka-GE"/>
        </w:rPr>
        <w:t xml:space="preserve">“ </w:t>
      </w:r>
      <w:r w:rsidRPr="00DD379D">
        <w:rPr>
          <w:rFonts w:eastAsia="Calibri" w:cs="Times New Roman"/>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43AC4AD8" w14:textId="77777777" w:rsidR="00BC5BBA" w:rsidRPr="00DD379D" w:rsidRDefault="00BC5BBA" w:rsidP="00BC5BBA">
      <w:pPr>
        <w:spacing w:line="252" w:lineRule="auto"/>
        <w:ind w:right="90"/>
        <w:contextualSpacing/>
        <w:jc w:val="both"/>
        <w:rPr>
          <w:rFonts w:eastAsia="Calibri" w:cs="Times New Roman"/>
          <w:lang w:val="ka-GE"/>
        </w:rPr>
      </w:pPr>
    </w:p>
    <w:p w14:paraId="43C0222D" w14:textId="77777777" w:rsidR="00BC5BBA" w:rsidRPr="00DD379D" w:rsidRDefault="00BC5BBA" w:rsidP="00BC5BBA">
      <w:pPr>
        <w:spacing w:line="252" w:lineRule="auto"/>
        <w:contextualSpacing/>
        <w:jc w:val="both"/>
        <w:rPr>
          <w:rFonts w:eastAsia="Calibri" w:cs="Times New Roman"/>
          <w:b/>
          <w:lang w:val="ka-GE"/>
        </w:rPr>
      </w:pPr>
      <w:r w:rsidRPr="00DD379D">
        <w:rPr>
          <w:rFonts w:eastAsia="Calibri" w:cs="Times New Roman"/>
          <w:b/>
          <w:lang w:val="ka-GE"/>
        </w:rPr>
        <w:t>ა.გ) კანონპროექტის ძირითადი არსი:</w:t>
      </w:r>
    </w:p>
    <w:p w14:paraId="3CEBECCB" w14:textId="77777777" w:rsidR="00BC5BBA" w:rsidRDefault="00BC5BBA" w:rsidP="00BC5BBA">
      <w:pPr>
        <w:spacing w:line="256" w:lineRule="auto"/>
        <w:contextualSpacing/>
        <w:jc w:val="both"/>
        <w:rPr>
          <w:rFonts w:eastAsia="Calibri" w:cs="Times New Roman"/>
          <w:lang w:val="ka-GE"/>
        </w:rPr>
      </w:pPr>
      <w:r w:rsidRPr="00DD379D">
        <w:rPr>
          <w:rFonts w:eastAsia="Calibri" w:cs="Times New Roman"/>
          <w:lang w:val="ka-GE"/>
        </w:rPr>
        <w:t xml:space="preserve">„მიკრო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ცვლილებით, ახალი რედაქციით ყალიბდება </w:t>
      </w:r>
      <w:r w:rsidRPr="000A0DAB">
        <w:rPr>
          <w:rFonts w:eastAsia="Calibri" w:cs="Times New Roman"/>
          <w:lang w:val="ka-GE"/>
        </w:rPr>
        <w:t>საკრედიტო კავშირის სამეთვალყურეო საბჭოს და გამგეობის წევრი</w:t>
      </w:r>
      <w:r>
        <w:rPr>
          <w:rFonts w:eastAsia="Calibri" w:cs="Times New Roman"/>
          <w:lang w:val="ka-GE"/>
        </w:rPr>
        <w:t xml:space="preserve">ს ინტერესთა კონფლიქტის მარეგულირებელი მე-12 მუხლი, რომელშიც </w:t>
      </w:r>
      <w:r w:rsidRPr="00DD379D">
        <w:rPr>
          <w:rFonts w:eastAsia="Calibri" w:cs="Times New Roman"/>
          <w:lang w:val="ka-GE"/>
        </w:rPr>
        <w:t xml:space="preserve">მითითება კეთდება მიკრო </w:t>
      </w:r>
      <w:r>
        <w:rPr>
          <w:rFonts w:eastAsia="Calibri" w:cs="Times New Roman"/>
          <w:lang w:val="ka-GE"/>
        </w:rPr>
        <w:t>ბანკზე.</w:t>
      </w:r>
    </w:p>
    <w:p w14:paraId="41E7F66C" w14:textId="77777777" w:rsidR="00BC5BBA" w:rsidRDefault="00BC5BBA" w:rsidP="00BC5BBA">
      <w:pPr>
        <w:spacing w:line="256" w:lineRule="auto"/>
        <w:contextualSpacing/>
        <w:jc w:val="both"/>
        <w:rPr>
          <w:rFonts w:eastAsia="Calibri" w:cs="Times New Roman"/>
          <w:lang w:val="ka-GE"/>
        </w:rPr>
      </w:pPr>
    </w:p>
    <w:p w14:paraId="7AE55C6E" w14:textId="77777777" w:rsidR="00BC5BBA" w:rsidRPr="00DD379D" w:rsidRDefault="00BC5BBA" w:rsidP="00BC5BBA">
      <w:pPr>
        <w:spacing w:line="256" w:lineRule="auto"/>
        <w:contextualSpacing/>
        <w:jc w:val="both"/>
        <w:rPr>
          <w:rFonts w:eastAsia="Calibri" w:cs="Times New Roman"/>
          <w:lang w:val="ka-GE"/>
        </w:rPr>
      </w:pPr>
      <w:r>
        <w:rPr>
          <w:rFonts w:eastAsia="Calibri" w:cs="Times New Roman"/>
          <w:lang w:val="ka-GE"/>
        </w:rPr>
        <w:t xml:space="preserve">კანონპროექტის შესაბამისად, იცვლება კანონის მე-17 მუხლის პირველი პუნქტის „ბ“ ქვეპუნქტი და საკრედიტო კავშირისათვის დასაშვებ ინვესტიციად კომერციულ ბანკებთან ერთად, განისაზღვრება </w:t>
      </w:r>
      <w:r w:rsidRPr="000A0DAB">
        <w:rPr>
          <w:rFonts w:eastAsia="Calibri" w:cs="Times New Roman"/>
          <w:lang w:val="ka-GE"/>
        </w:rPr>
        <w:t xml:space="preserve">მიკრო ბანკებში მოკლევადიანი </w:t>
      </w:r>
      <w:r>
        <w:rPr>
          <w:rFonts w:eastAsia="Calibri" w:cs="Times New Roman"/>
          <w:lang w:val="ka-GE"/>
        </w:rPr>
        <w:t>დეპოზიტებიც.</w:t>
      </w:r>
    </w:p>
    <w:p w14:paraId="4C17E7F0" w14:textId="77777777" w:rsidR="00BC5BBA" w:rsidRPr="00DD379D" w:rsidRDefault="00BC5BBA" w:rsidP="00BC5BBA">
      <w:pPr>
        <w:spacing w:line="256" w:lineRule="auto"/>
        <w:jc w:val="both"/>
        <w:rPr>
          <w:rFonts w:eastAsia="Calibri" w:cs="Times New Roman"/>
          <w:lang w:val="ka-GE"/>
        </w:rPr>
      </w:pPr>
    </w:p>
    <w:p w14:paraId="4C29C551" w14:textId="77777777" w:rsidR="00BC5BBA" w:rsidRPr="00FA169F" w:rsidRDefault="00BC5BBA" w:rsidP="00BC5BBA">
      <w:pPr>
        <w:spacing w:line="257" w:lineRule="auto"/>
        <w:contextualSpacing/>
        <w:jc w:val="both"/>
        <w:rPr>
          <w:rFonts w:eastAsia="Calibri" w:cs="Times New Roman"/>
          <w:b/>
          <w:lang w:val="ka-GE"/>
        </w:rPr>
      </w:pPr>
      <w:r w:rsidRPr="00FA169F">
        <w:rPr>
          <w:rFonts w:eastAsia="Calibri" w:cs="Times New Roma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48BEA3D0" w14:textId="5FFE5602" w:rsidR="00BC5BBA" w:rsidRPr="00DD379D" w:rsidRDefault="009111DF" w:rsidP="00BC5BBA">
      <w:pPr>
        <w:spacing w:line="256" w:lineRule="auto"/>
        <w:jc w:val="both"/>
        <w:rPr>
          <w:rFonts w:eastAsia="Calibri" w:cs="Times New Roman"/>
          <w:b/>
          <w:lang w:val="ka-GE"/>
        </w:rPr>
      </w:pPr>
      <w:r w:rsidRPr="009111DF">
        <w:rPr>
          <w:rFonts w:eastAsia="Calibri" w:cs="Times New Roman"/>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1" w:name="_GoBack"/>
      <w:bookmarkEnd w:id="1"/>
    </w:p>
    <w:p w14:paraId="549F38F4"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DD379D">
        <w:rPr>
          <w:rFonts w:eastAsia="Calibri" w:cs="Times New Roman"/>
          <w:lang w:val="ka-GE"/>
        </w:rPr>
        <w:t xml:space="preserve">: </w:t>
      </w:r>
    </w:p>
    <w:p w14:paraId="7B58D309"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lang w:val="ka-GE"/>
        </w:rPr>
        <w:lastRenderedPageBreak/>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19A4FDC7" w14:textId="77777777" w:rsidR="00BC5BBA" w:rsidRPr="00DD379D" w:rsidRDefault="00BC5BBA" w:rsidP="00BC5BBA">
      <w:pPr>
        <w:spacing w:line="256" w:lineRule="auto"/>
        <w:jc w:val="both"/>
        <w:rPr>
          <w:rFonts w:eastAsia="Calibri" w:cs="Times New Roman"/>
          <w:b/>
          <w:lang w:val="ka-GE"/>
        </w:rPr>
      </w:pPr>
    </w:p>
    <w:p w14:paraId="69A8785B"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DD379D">
        <w:rPr>
          <w:rFonts w:eastAsia="Calibri" w:cs="Times New Roman"/>
          <w:lang w:val="ka-GE"/>
        </w:rPr>
        <w:t xml:space="preserve">  </w:t>
      </w:r>
    </w:p>
    <w:p w14:paraId="7F1E3CAE" w14:textId="77777777" w:rsidR="00BC5BBA" w:rsidRPr="00DD379D" w:rsidRDefault="00BC5BBA" w:rsidP="00BC5BBA">
      <w:pPr>
        <w:spacing w:line="257" w:lineRule="auto"/>
        <w:contextualSpacing/>
        <w:jc w:val="both"/>
        <w:rPr>
          <w:rFonts w:eastAsia="Calibri" w:cs="Times New Roman"/>
          <w:lang w:val="ka-GE"/>
        </w:rPr>
      </w:pPr>
      <w:r w:rsidRPr="00DD379D">
        <w:rPr>
          <w:rFonts w:eastAsia="Calibri" w:cs="Times New Roman"/>
          <w:lang w:val="ka-GE"/>
        </w:rPr>
        <w:t>კანონპროექტის დაჩქარებული წესით განხილვა მოთხოვნილი არ არის.</w:t>
      </w:r>
    </w:p>
    <w:p w14:paraId="460AE88E" w14:textId="77777777" w:rsidR="00BC5BBA" w:rsidRPr="00DD379D" w:rsidRDefault="00BC5BBA" w:rsidP="00BC5BBA">
      <w:pPr>
        <w:spacing w:line="256" w:lineRule="auto"/>
        <w:jc w:val="both"/>
        <w:rPr>
          <w:rFonts w:eastAsia="Calibri" w:cs="Times New Roman"/>
          <w:b/>
          <w:lang w:val="ka-GE"/>
        </w:rPr>
      </w:pPr>
    </w:p>
    <w:p w14:paraId="2B88677A"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DD379D">
        <w:rPr>
          <w:rFonts w:eastAsia="Calibri" w:cs="Times New Roman"/>
          <w:lang w:val="ka-GE"/>
        </w:rPr>
        <w:t xml:space="preserve"> </w:t>
      </w:r>
    </w:p>
    <w:p w14:paraId="2AF68FA2"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4FF10B4C"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კანონპროექტის მიღება არ გამოიწვევს სახელმწიფო ბიუჯეტიდან ხარჯების გამოყოფას.</w:t>
      </w:r>
    </w:p>
    <w:p w14:paraId="6D4B4D74"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 xml:space="preserve"> </w:t>
      </w:r>
    </w:p>
    <w:p w14:paraId="7CE75C17"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DD379D">
        <w:rPr>
          <w:rFonts w:eastAsia="Calibri" w:cs="Times New Roman"/>
          <w:lang w:val="ka-GE"/>
        </w:rPr>
        <w:t xml:space="preserve"> </w:t>
      </w:r>
    </w:p>
    <w:p w14:paraId="52C4CF6C"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63563FD1" w14:textId="77777777" w:rsidR="00BC5BBA" w:rsidRPr="00DD379D" w:rsidRDefault="00BC5BBA" w:rsidP="00BC5BBA">
      <w:pPr>
        <w:spacing w:line="256" w:lineRule="auto"/>
        <w:contextualSpacing/>
        <w:jc w:val="both"/>
        <w:rPr>
          <w:rFonts w:eastAsia="Calibri" w:cs="Times New Roman"/>
          <w:b/>
          <w:lang w:val="ka-GE"/>
        </w:rPr>
      </w:pPr>
    </w:p>
    <w:p w14:paraId="7EDB301B"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ბ.გ) კანონპროექტის გავლენა სახელმწიფო ან/და მუნიციპალიტეტის ბიუჯეტის ხარჯვით ნაწილზე:</w:t>
      </w:r>
      <w:r w:rsidRPr="00DD379D">
        <w:rPr>
          <w:rFonts w:eastAsia="Calibri" w:cs="Times New Roman"/>
          <w:lang w:val="ka-GE"/>
        </w:rPr>
        <w:t xml:space="preserve"> </w:t>
      </w:r>
    </w:p>
    <w:p w14:paraId="39D16D53"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325BEA30" w14:textId="77777777" w:rsidR="00BC5BBA" w:rsidRPr="00DD379D" w:rsidRDefault="00BC5BBA" w:rsidP="00BC5BBA">
      <w:pPr>
        <w:spacing w:line="256" w:lineRule="auto"/>
        <w:contextualSpacing/>
        <w:jc w:val="both"/>
        <w:rPr>
          <w:rFonts w:eastAsia="Calibri" w:cs="Times New Roman"/>
          <w:b/>
          <w:lang w:val="ka-GE"/>
        </w:rPr>
      </w:pPr>
    </w:p>
    <w:p w14:paraId="0B33EF89"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DD379D">
        <w:rPr>
          <w:rFonts w:eastAsia="Calibri" w:cs="Times New Roman"/>
          <w:lang w:val="ka-GE"/>
        </w:rPr>
        <w:t xml:space="preserve"> </w:t>
      </w:r>
    </w:p>
    <w:p w14:paraId="627901CE"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ითვალისწინებს სახელმწიფოს მიერ ახალი ფინანსური ვალდებულების აღებას.</w:t>
      </w:r>
    </w:p>
    <w:p w14:paraId="57472E07" w14:textId="77777777" w:rsidR="00BC5BBA" w:rsidRPr="00DD379D" w:rsidRDefault="00BC5BBA" w:rsidP="00BC5BBA">
      <w:pPr>
        <w:spacing w:line="256" w:lineRule="auto"/>
        <w:contextualSpacing/>
        <w:jc w:val="both"/>
        <w:rPr>
          <w:rFonts w:eastAsia="Calibri" w:cs="Times New Roman"/>
          <w:b/>
          <w:lang w:val="ka-GE"/>
        </w:rPr>
      </w:pPr>
    </w:p>
    <w:p w14:paraId="60BD957D" w14:textId="51C4C3FE" w:rsidR="00BC5BBA" w:rsidRPr="00261D88" w:rsidRDefault="00BC5BBA" w:rsidP="00BC5BBA">
      <w:pPr>
        <w:spacing w:line="256" w:lineRule="auto"/>
        <w:contextualSpacing/>
        <w:jc w:val="both"/>
        <w:rPr>
          <w:rFonts w:eastAsia="Calibri" w:cs="Times New Roman"/>
          <w:lang w:val="ka-GE"/>
        </w:rPr>
      </w:pPr>
      <w:r w:rsidRPr="00261D88">
        <w:rPr>
          <w:rFonts w:eastAsia="Calibri" w:cs="Times New Roma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261D88">
        <w:rPr>
          <w:rFonts w:eastAsia="Calibri" w:cs="Times New Roman"/>
          <w:lang w:val="ka-GE"/>
        </w:rPr>
        <w:t xml:space="preserve">: </w:t>
      </w:r>
    </w:p>
    <w:p w14:paraId="049FD592" w14:textId="5BF75AAD" w:rsidR="006B53F9" w:rsidRPr="006B53F9" w:rsidRDefault="006B53F9" w:rsidP="006B53F9">
      <w:pPr>
        <w:contextualSpacing/>
        <w:jc w:val="both"/>
        <w:rPr>
          <w:rFonts w:cs="Sylfaen"/>
          <w:lang w:val="ka-GE"/>
        </w:rPr>
      </w:pPr>
      <w:r w:rsidRPr="00261D88">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641CB92B" w14:textId="77777777" w:rsidR="00BC5BBA" w:rsidRPr="00DD379D" w:rsidRDefault="00BC5BBA" w:rsidP="00BC5BBA">
      <w:pPr>
        <w:spacing w:line="256" w:lineRule="auto"/>
        <w:contextualSpacing/>
        <w:jc w:val="both"/>
        <w:rPr>
          <w:rFonts w:eastAsia="Calibri" w:cs="Times New Roman"/>
          <w:lang w:val="ka-GE"/>
        </w:rPr>
      </w:pPr>
    </w:p>
    <w:p w14:paraId="3CF8A1E1"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296706DD"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707F02C1" w14:textId="77777777" w:rsidR="00BC5BBA" w:rsidRPr="00DD379D" w:rsidRDefault="00BC5BBA" w:rsidP="00BC5BBA">
      <w:pPr>
        <w:spacing w:line="256" w:lineRule="auto"/>
        <w:contextualSpacing/>
        <w:jc w:val="both"/>
        <w:rPr>
          <w:rFonts w:eastAsia="Calibri" w:cs="Times New Roman"/>
          <w:b/>
          <w:lang w:val="ka-GE"/>
        </w:rPr>
      </w:pPr>
    </w:p>
    <w:p w14:paraId="5399A856"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ბ</w:t>
      </w:r>
      <w:r w:rsidRPr="00DD379D">
        <w:rPr>
          <w:rFonts w:eastAsia="Calibri" w:cs="Times New Roman"/>
          <w:b/>
          <w:vertAlign w:val="superscript"/>
          <w:lang w:val="ka-GE"/>
        </w:rPr>
        <w:t>1</w:t>
      </w:r>
      <w:r w:rsidRPr="00DD379D">
        <w:rPr>
          <w:rFonts w:eastAsia="Calibri" w:cs="Times New Roman"/>
          <w:b/>
          <w:lang w:val="ka-GE"/>
        </w:rPr>
        <w:t>) ბავშვის უფლებრივ მდგომარეობაზე კანონპროექტის ზეგავლენის შეფასება:</w:t>
      </w:r>
    </w:p>
    <w:p w14:paraId="48DBDFC1"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კანონპროექტი გავლენას არ ახდენს ბავშვის უფლებრივ მდგომარეობაზე.</w:t>
      </w:r>
    </w:p>
    <w:p w14:paraId="3623DA43"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 xml:space="preserve"> </w:t>
      </w:r>
    </w:p>
    <w:p w14:paraId="18790C71"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lastRenderedPageBreak/>
        <w:t xml:space="preserve">გ) კანონპროექტის მიმართება საერთაშორისო სამართლებრივ სტანდარტებთან: </w:t>
      </w:r>
    </w:p>
    <w:p w14:paraId="76DF0531"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 xml:space="preserve">გ.ა) კანონპროექტის მიმართება ევროკავშირის სამართალთან: </w:t>
      </w:r>
    </w:p>
    <w:p w14:paraId="64D72734"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ეწინააღმდეგება ევროკავშირის სამართალს.</w:t>
      </w:r>
    </w:p>
    <w:p w14:paraId="2D07E037"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 xml:space="preserve"> </w:t>
      </w:r>
    </w:p>
    <w:p w14:paraId="22316E28"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5D5BB5A4"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22544EDD" w14:textId="77777777" w:rsidR="00BC5BBA" w:rsidRPr="00DD379D" w:rsidRDefault="00BC5BBA" w:rsidP="00BC5BBA">
      <w:pPr>
        <w:spacing w:line="256" w:lineRule="auto"/>
        <w:contextualSpacing/>
        <w:jc w:val="both"/>
        <w:rPr>
          <w:rFonts w:eastAsia="Calibri" w:cs="Times New Roman"/>
          <w:b/>
          <w:lang w:val="ka-GE"/>
        </w:rPr>
      </w:pPr>
    </w:p>
    <w:p w14:paraId="1762388C"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DD379D">
        <w:rPr>
          <w:rFonts w:eastAsia="Calibri" w:cs="Times New Roman"/>
          <w:lang w:val="ka-GE"/>
        </w:rPr>
        <w:t xml:space="preserve"> </w:t>
      </w:r>
    </w:p>
    <w:p w14:paraId="2E20188B"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ეწინააღმდეგება საქართველოს ორმხრივ და მრავალმხრივ ხელშეკრულებებს.</w:t>
      </w:r>
    </w:p>
    <w:p w14:paraId="205A637D" w14:textId="77777777" w:rsidR="00BC5BBA" w:rsidRPr="00DD379D" w:rsidRDefault="00BC5BBA" w:rsidP="00BC5BBA">
      <w:pPr>
        <w:spacing w:line="256" w:lineRule="auto"/>
        <w:contextualSpacing/>
        <w:jc w:val="both"/>
        <w:rPr>
          <w:rFonts w:eastAsia="Calibri" w:cs="Times New Roman"/>
          <w:b/>
          <w:lang w:val="ka-GE"/>
        </w:rPr>
      </w:pPr>
    </w:p>
    <w:p w14:paraId="46A787D4"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DD379D">
        <w:rPr>
          <w:rFonts w:eastAsia="Calibri" w:cs="Times New Roman"/>
          <w:lang w:val="ka-GE"/>
        </w:rPr>
        <w:t xml:space="preserve"> </w:t>
      </w:r>
    </w:p>
    <w:p w14:paraId="2412AC8E"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 xml:space="preserve">ასეთი არ არსებობს. </w:t>
      </w:r>
    </w:p>
    <w:p w14:paraId="7B728392" w14:textId="77777777" w:rsidR="00BC5BBA" w:rsidRPr="00DD379D" w:rsidRDefault="00BC5BBA" w:rsidP="00BC5BBA">
      <w:pPr>
        <w:spacing w:line="256" w:lineRule="auto"/>
        <w:contextualSpacing/>
        <w:jc w:val="both"/>
        <w:rPr>
          <w:rFonts w:eastAsia="Calibri" w:cs="Times New Roman"/>
          <w:b/>
          <w:lang w:val="ka-GE"/>
        </w:rPr>
      </w:pPr>
    </w:p>
    <w:p w14:paraId="732E7CE2"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 xml:space="preserve">დ) კანონპროექტის მომზადების პროცესში მიღებული კონსულტაციები: </w:t>
      </w:r>
    </w:p>
    <w:p w14:paraId="5979EC40"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DD379D">
        <w:rPr>
          <w:rFonts w:eastAsia="Calibri" w:cs="Times New Roman"/>
          <w:lang w:val="ka-GE"/>
        </w:rPr>
        <w:t xml:space="preserve"> </w:t>
      </w:r>
    </w:p>
    <w:p w14:paraId="356940B9"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ასეთი არ არსებობს.</w:t>
      </w:r>
    </w:p>
    <w:p w14:paraId="21E4BB25" w14:textId="77777777" w:rsidR="00BC5BBA" w:rsidRPr="00DD379D" w:rsidRDefault="00BC5BBA" w:rsidP="00BC5BBA">
      <w:pPr>
        <w:spacing w:line="256" w:lineRule="auto"/>
        <w:contextualSpacing/>
        <w:jc w:val="both"/>
        <w:rPr>
          <w:rFonts w:eastAsia="Calibri" w:cs="Times New Roman"/>
          <w:b/>
          <w:lang w:val="ka-GE"/>
        </w:rPr>
      </w:pPr>
    </w:p>
    <w:p w14:paraId="5EEC4E49"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2A842A2D"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lang w:val="ka-GE"/>
        </w:rPr>
        <w:t>ასეთი არ არსებობს.</w:t>
      </w:r>
    </w:p>
    <w:p w14:paraId="2B52CA27" w14:textId="77777777" w:rsidR="00BC5BBA" w:rsidRPr="00DD379D" w:rsidRDefault="00BC5BBA" w:rsidP="00BC5BBA">
      <w:pPr>
        <w:spacing w:line="256" w:lineRule="auto"/>
        <w:contextualSpacing/>
        <w:jc w:val="both"/>
        <w:rPr>
          <w:rFonts w:eastAsia="Calibri" w:cs="Times New Roman"/>
          <w:b/>
          <w:lang w:val="ka-GE"/>
        </w:rPr>
      </w:pPr>
    </w:p>
    <w:p w14:paraId="222210CA" w14:textId="77777777" w:rsidR="00BC5BBA" w:rsidRPr="00DD379D" w:rsidRDefault="00BC5BBA" w:rsidP="00BC5BBA">
      <w:pPr>
        <w:spacing w:line="256" w:lineRule="auto"/>
        <w:contextualSpacing/>
        <w:jc w:val="both"/>
        <w:rPr>
          <w:rFonts w:eastAsia="Calibri" w:cs="Times New Roman"/>
          <w:b/>
          <w:lang w:val="ka-GE"/>
        </w:rPr>
      </w:pPr>
      <w:r w:rsidRPr="00DD379D">
        <w:rPr>
          <w:rFonts w:eastAsia="Calibri" w:cs="Times New Roman"/>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0FEAC7F6" w14:textId="77777777" w:rsidR="00BC5BBA" w:rsidRPr="00DD379D" w:rsidRDefault="00BC5BBA" w:rsidP="00BC5BBA">
      <w:pPr>
        <w:spacing w:line="256" w:lineRule="auto"/>
        <w:contextualSpacing/>
        <w:jc w:val="both"/>
        <w:rPr>
          <w:rFonts w:eastAsia="Calibri" w:cs="Times New Roman"/>
          <w:lang w:val="ka-GE"/>
        </w:rPr>
      </w:pPr>
      <w:r w:rsidRPr="00DD379D">
        <w:rPr>
          <w:rFonts w:eastAsia="Calibri" w:cs="Times New Roman"/>
          <w:lang w:val="ka-GE"/>
        </w:rPr>
        <w:t xml:space="preserve">ასეთი არ არსებობს. </w:t>
      </w:r>
    </w:p>
    <w:p w14:paraId="3D05F325" w14:textId="77777777" w:rsidR="00BC5BBA" w:rsidRPr="00DD379D" w:rsidRDefault="00BC5BBA" w:rsidP="00BC5BBA">
      <w:pPr>
        <w:spacing w:line="256" w:lineRule="auto"/>
        <w:contextualSpacing/>
        <w:jc w:val="both"/>
        <w:rPr>
          <w:rFonts w:eastAsia="Calibri" w:cs="Times New Roman"/>
          <w:lang w:val="ka-GE"/>
        </w:rPr>
      </w:pPr>
    </w:p>
    <w:p w14:paraId="284DB6EC" w14:textId="77777777" w:rsidR="00BC5BBA" w:rsidRPr="00DD379D" w:rsidRDefault="00BC5BBA" w:rsidP="00BC5BBA">
      <w:pPr>
        <w:spacing w:line="252" w:lineRule="auto"/>
        <w:contextualSpacing/>
        <w:jc w:val="both"/>
        <w:rPr>
          <w:rFonts w:eastAsia="Calibri" w:cs="Times New Roman"/>
          <w:lang w:val="ka-GE"/>
        </w:rPr>
      </w:pPr>
      <w:r w:rsidRPr="00DD379D">
        <w:rPr>
          <w:rFonts w:eastAsia="Calibri" w:cs="Times New Roman"/>
          <w:b/>
          <w:lang w:val="ka-GE"/>
        </w:rPr>
        <w:t>ე) კანონპროექტის ავტორი:</w:t>
      </w:r>
      <w:r w:rsidRPr="00DD379D">
        <w:rPr>
          <w:rFonts w:eastAsia="Calibri" w:cs="Times New Roman"/>
          <w:lang w:val="ka-GE"/>
        </w:rPr>
        <w:t xml:space="preserve"> </w:t>
      </w:r>
    </w:p>
    <w:p w14:paraId="486F4577" w14:textId="77777777" w:rsidR="00BC5BBA" w:rsidRPr="00DD379D" w:rsidRDefault="00BC5BBA" w:rsidP="00BC5BBA">
      <w:pPr>
        <w:spacing w:line="252" w:lineRule="auto"/>
        <w:contextualSpacing/>
        <w:jc w:val="both"/>
        <w:rPr>
          <w:rFonts w:eastAsia="Calibri" w:cs="Times New Roman"/>
          <w:lang w:val="ka-GE"/>
        </w:rPr>
      </w:pPr>
      <w:r w:rsidRPr="00DD379D">
        <w:rPr>
          <w:rFonts w:eastAsia="Calibri" w:cs="Times New Roman"/>
          <w:lang w:val="ka-GE"/>
        </w:rPr>
        <w:t xml:space="preserve">კანონპროექტის ავტორია საქართველოს ეროვნული ბანკი. </w:t>
      </w:r>
    </w:p>
    <w:p w14:paraId="6FC8B5E0" w14:textId="77777777" w:rsidR="00BC5BBA" w:rsidRPr="00DD379D" w:rsidRDefault="00BC5BBA" w:rsidP="00BC5BBA">
      <w:pPr>
        <w:spacing w:line="256" w:lineRule="auto"/>
        <w:contextualSpacing/>
        <w:jc w:val="both"/>
        <w:rPr>
          <w:rFonts w:eastAsia="Calibri" w:cs="Times New Roman"/>
          <w:b/>
          <w:lang w:val="ka-GE"/>
        </w:rPr>
      </w:pPr>
    </w:p>
    <w:p w14:paraId="01F655CE" w14:textId="2CF8269B" w:rsidR="00BC5BBA" w:rsidRDefault="00BC5BBA" w:rsidP="00BC5BBA">
      <w:pPr>
        <w:spacing w:line="256" w:lineRule="auto"/>
        <w:contextualSpacing/>
        <w:jc w:val="both"/>
        <w:rPr>
          <w:rFonts w:eastAsia="Calibri" w:cs="Times New Roman"/>
          <w:lang w:val="ka-GE"/>
        </w:rPr>
      </w:pPr>
      <w:r w:rsidRPr="00DD379D">
        <w:rPr>
          <w:rFonts w:eastAsia="Calibri" w:cs="Times New Roman"/>
          <w:b/>
          <w:lang w:val="ka-GE"/>
        </w:rPr>
        <w:t>ვ) კანონპროექტის ინიციატორი:</w:t>
      </w:r>
      <w:r w:rsidRPr="00DD379D">
        <w:rPr>
          <w:rFonts w:eastAsia="Calibri" w:cs="Times New Roman"/>
          <w:lang w:val="ka-GE"/>
        </w:rPr>
        <w:t xml:space="preserve"> </w:t>
      </w:r>
    </w:p>
    <w:p w14:paraId="46EDC8F9" w14:textId="7A4CAA99" w:rsidR="00261D88" w:rsidRPr="00DD379D" w:rsidRDefault="00261D88" w:rsidP="00BC5BBA">
      <w:pPr>
        <w:spacing w:line="256" w:lineRule="auto"/>
        <w:contextualSpacing/>
        <w:jc w:val="both"/>
        <w:rPr>
          <w:rFonts w:eastAsia="Calibri" w:cs="Times New Roman"/>
          <w:lang w:val="ka-GE"/>
        </w:rPr>
      </w:pPr>
      <w:r>
        <w:rPr>
          <w:rFonts w:eastAsia="Calibri" w:cs="Times New Roman"/>
          <w:lang w:val="ka-GE"/>
        </w:rPr>
        <w:t>კანონპროექტის ინიციატორია საქართველოს მთავრობა.</w:t>
      </w:r>
    </w:p>
    <w:p w14:paraId="62466406" w14:textId="77777777" w:rsidR="00BC5BBA" w:rsidRPr="004D7BF2" w:rsidRDefault="00BC5BBA" w:rsidP="00BC5BBA">
      <w:pPr>
        <w:jc w:val="both"/>
        <w:rPr>
          <w:b/>
          <w:lang w:val="ka-GE"/>
        </w:rPr>
      </w:pPr>
    </w:p>
    <w:sectPr w:rsidR="00BC5BBA" w:rsidRPr="004D7BF2" w:rsidSect="001455BD">
      <w:pgSz w:w="11906" w:h="16838" w:code="9"/>
      <w:pgMar w:top="1418" w:right="1418" w:bottom="99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A588" w14:textId="77777777" w:rsidR="00E22990" w:rsidRDefault="00E22990" w:rsidP="00B70BC0">
      <w:pPr>
        <w:spacing w:after="0" w:line="240" w:lineRule="auto"/>
      </w:pPr>
      <w:r>
        <w:separator/>
      </w:r>
    </w:p>
  </w:endnote>
  <w:endnote w:type="continuationSeparator" w:id="0">
    <w:p w14:paraId="209CDC3C" w14:textId="77777777" w:rsidR="00E22990" w:rsidRDefault="00E22990" w:rsidP="00B7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6FCA" w14:textId="77777777" w:rsidR="00E22990" w:rsidRDefault="00E22990" w:rsidP="00B70BC0">
      <w:pPr>
        <w:spacing w:after="0" w:line="240" w:lineRule="auto"/>
      </w:pPr>
      <w:r>
        <w:separator/>
      </w:r>
    </w:p>
  </w:footnote>
  <w:footnote w:type="continuationSeparator" w:id="0">
    <w:p w14:paraId="634D2AD9" w14:textId="77777777" w:rsidR="00E22990" w:rsidRDefault="00E22990" w:rsidP="00B70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43C0"/>
    <w:multiLevelType w:val="hybridMultilevel"/>
    <w:tmpl w:val="CE4E36E0"/>
    <w:lvl w:ilvl="0" w:tplc="99D64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355CE"/>
    <w:multiLevelType w:val="hybridMultilevel"/>
    <w:tmpl w:val="437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75F76"/>
    <w:multiLevelType w:val="hybridMultilevel"/>
    <w:tmpl w:val="8B1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953DB"/>
    <w:multiLevelType w:val="hybridMultilevel"/>
    <w:tmpl w:val="8326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80657"/>
    <w:rsid w:val="00082143"/>
    <w:rsid w:val="000A0BA6"/>
    <w:rsid w:val="001455BD"/>
    <w:rsid w:val="00181CAC"/>
    <w:rsid w:val="00197E9D"/>
    <w:rsid w:val="00261D88"/>
    <w:rsid w:val="00281A0B"/>
    <w:rsid w:val="0028733A"/>
    <w:rsid w:val="002B697A"/>
    <w:rsid w:val="002C4728"/>
    <w:rsid w:val="0035324F"/>
    <w:rsid w:val="00356707"/>
    <w:rsid w:val="00372D14"/>
    <w:rsid w:val="00436E53"/>
    <w:rsid w:val="00473715"/>
    <w:rsid w:val="004B0677"/>
    <w:rsid w:val="004D7BF2"/>
    <w:rsid w:val="005565CE"/>
    <w:rsid w:val="0056006C"/>
    <w:rsid w:val="005E1D1A"/>
    <w:rsid w:val="00617C55"/>
    <w:rsid w:val="006214F9"/>
    <w:rsid w:val="0068680E"/>
    <w:rsid w:val="006B53F9"/>
    <w:rsid w:val="006F0698"/>
    <w:rsid w:val="007E73FB"/>
    <w:rsid w:val="00814C09"/>
    <w:rsid w:val="008215CC"/>
    <w:rsid w:val="00857411"/>
    <w:rsid w:val="00867DF8"/>
    <w:rsid w:val="008D6D2E"/>
    <w:rsid w:val="008E4E8B"/>
    <w:rsid w:val="008F7866"/>
    <w:rsid w:val="009065AC"/>
    <w:rsid w:val="009111DF"/>
    <w:rsid w:val="00911EF8"/>
    <w:rsid w:val="00934FAD"/>
    <w:rsid w:val="00940D17"/>
    <w:rsid w:val="009628A3"/>
    <w:rsid w:val="009F0B3D"/>
    <w:rsid w:val="00A83A12"/>
    <w:rsid w:val="00A86A1E"/>
    <w:rsid w:val="00A907C8"/>
    <w:rsid w:val="00AF0BD7"/>
    <w:rsid w:val="00AF4934"/>
    <w:rsid w:val="00B0407A"/>
    <w:rsid w:val="00B70BC0"/>
    <w:rsid w:val="00BA3C58"/>
    <w:rsid w:val="00BC5BBA"/>
    <w:rsid w:val="00BD6DFD"/>
    <w:rsid w:val="00BE3DC1"/>
    <w:rsid w:val="00C27943"/>
    <w:rsid w:val="00C4088A"/>
    <w:rsid w:val="00CD6AEE"/>
    <w:rsid w:val="00CE34A4"/>
    <w:rsid w:val="00D1666F"/>
    <w:rsid w:val="00D51B20"/>
    <w:rsid w:val="00DA7DDF"/>
    <w:rsid w:val="00DB2887"/>
    <w:rsid w:val="00E06C58"/>
    <w:rsid w:val="00E22990"/>
    <w:rsid w:val="00E92710"/>
    <w:rsid w:val="00F26BF5"/>
    <w:rsid w:val="00F954B1"/>
    <w:rsid w:val="00FA169F"/>
    <w:rsid w:val="00FA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0713"/>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214F9"/>
    <w:rPr>
      <w:sz w:val="16"/>
      <w:szCs w:val="16"/>
    </w:rPr>
  </w:style>
  <w:style w:type="paragraph" w:styleId="CommentText">
    <w:name w:val="annotation text"/>
    <w:basedOn w:val="Normal"/>
    <w:link w:val="CommentTextChar"/>
    <w:uiPriority w:val="99"/>
    <w:semiHidden/>
    <w:unhideWhenUsed/>
    <w:rsid w:val="006214F9"/>
    <w:pPr>
      <w:spacing w:line="240" w:lineRule="auto"/>
    </w:pPr>
    <w:rPr>
      <w:sz w:val="20"/>
      <w:szCs w:val="20"/>
    </w:rPr>
  </w:style>
  <w:style w:type="character" w:customStyle="1" w:styleId="CommentTextChar">
    <w:name w:val="Comment Text Char"/>
    <w:basedOn w:val="DefaultParagraphFont"/>
    <w:link w:val="CommentText"/>
    <w:uiPriority w:val="99"/>
    <w:semiHidden/>
    <w:rsid w:val="006214F9"/>
    <w:rPr>
      <w:sz w:val="20"/>
      <w:szCs w:val="20"/>
    </w:rPr>
  </w:style>
  <w:style w:type="paragraph" w:styleId="CommentSubject">
    <w:name w:val="annotation subject"/>
    <w:basedOn w:val="CommentText"/>
    <w:next w:val="CommentText"/>
    <w:link w:val="CommentSubjectChar"/>
    <w:uiPriority w:val="99"/>
    <w:semiHidden/>
    <w:unhideWhenUsed/>
    <w:rsid w:val="006214F9"/>
    <w:rPr>
      <w:b/>
      <w:bCs/>
    </w:rPr>
  </w:style>
  <w:style w:type="character" w:customStyle="1" w:styleId="CommentSubjectChar">
    <w:name w:val="Comment Subject Char"/>
    <w:basedOn w:val="CommentTextChar"/>
    <w:link w:val="CommentSubject"/>
    <w:uiPriority w:val="99"/>
    <w:semiHidden/>
    <w:rsid w:val="006214F9"/>
    <w:rPr>
      <w:b/>
      <w:bCs/>
      <w:sz w:val="20"/>
      <w:szCs w:val="20"/>
    </w:rPr>
  </w:style>
  <w:style w:type="paragraph" w:styleId="BalloonText">
    <w:name w:val="Balloon Text"/>
    <w:basedOn w:val="Normal"/>
    <w:link w:val="BalloonTextChar"/>
    <w:uiPriority w:val="99"/>
    <w:semiHidden/>
    <w:unhideWhenUsed/>
    <w:rsid w:val="0062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F9"/>
    <w:rPr>
      <w:rFonts w:ascii="Segoe UI" w:hAnsi="Segoe UI" w:cs="Segoe UI"/>
      <w:sz w:val="18"/>
      <w:szCs w:val="18"/>
    </w:rPr>
  </w:style>
  <w:style w:type="paragraph" w:styleId="Header">
    <w:name w:val="header"/>
    <w:basedOn w:val="Normal"/>
    <w:link w:val="HeaderChar"/>
    <w:uiPriority w:val="99"/>
    <w:unhideWhenUsed/>
    <w:rsid w:val="00B70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C0"/>
  </w:style>
  <w:style w:type="paragraph" w:styleId="Footer">
    <w:name w:val="footer"/>
    <w:basedOn w:val="Normal"/>
    <w:link w:val="FooterChar"/>
    <w:uiPriority w:val="99"/>
    <w:unhideWhenUsed/>
    <w:rsid w:val="00B70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2465">
      <w:bodyDiv w:val="1"/>
      <w:marLeft w:val="0"/>
      <w:marRight w:val="0"/>
      <w:marTop w:val="0"/>
      <w:marBottom w:val="0"/>
      <w:divBdr>
        <w:top w:val="none" w:sz="0" w:space="0" w:color="auto"/>
        <w:left w:val="none" w:sz="0" w:space="0" w:color="auto"/>
        <w:bottom w:val="none" w:sz="0" w:space="0" w:color="auto"/>
        <w:right w:val="none" w:sz="0" w:space="0" w:color="auto"/>
      </w:divBdr>
    </w:div>
    <w:div w:id="2137209550">
      <w:bodyDiv w:val="1"/>
      <w:marLeft w:val="0"/>
      <w:marRight w:val="0"/>
      <w:marTop w:val="0"/>
      <w:marBottom w:val="0"/>
      <w:divBdr>
        <w:top w:val="none" w:sz="0" w:space="0" w:color="auto"/>
        <w:left w:val="none" w:sz="0" w:space="0" w:color="auto"/>
        <w:bottom w:val="none" w:sz="0" w:space="0" w:color="auto"/>
        <w:right w:val="none" w:sz="0" w:space="0" w:color="auto"/>
      </w:divBdr>
      <w:divsChild>
        <w:div w:id="148963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zMTowOS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B000D586-9ABD-431D-AD46-FA17258E29A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70FAC33-82E7-4677-9CA3-7D378A2A014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15</cp:revision>
  <dcterms:created xsi:type="dcterms:W3CDTF">2021-10-04T11:31:00Z</dcterms:created>
  <dcterms:modified xsi:type="dcterms:W3CDTF">2022-03-21T12:34:00Z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1ce7bfc3-cb1f-4fbb-a8df-f3a6e66829c0</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{B000D586-9ABD-431D-AD46-FA17258E29AC}</vt:lpwstr>
  </property>
</Properties>
</file>