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AD9B" w14:textId="77777777" w:rsidR="00A65C43" w:rsidRPr="000074A9" w:rsidRDefault="00A65C43" w:rsidP="00A65C43">
      <w:pPr>
        <w:jc w:val="right"/>
        <w:rPr>
          <w:b/>
          <w:i/>
          <w:u w:val="single"/>
        </w:rPr>
      </w:pPr>
      <w:r w:rsidRPr="00F35783">
        <w:rPr>
          <w:b/>
          <w:i/>
          <w:u w:val="single"/>
          <w:lang w:val="ka-GE"/>
        </w:rPr>
        <w:t>პროექტი</w:t>
      </w:r>
    </w:p>
    <w:p w14:paraId="2D45E14F" w14:textId="77777777" w:rsidR="00A65C43" w:rsidRPr="00F35783" w:rsidRDefault="00A65C43" w:rsidP="00A65C43">
      <w:pPr>
        <w:jc w:val="center"/>
        <w:rPr>
          <w:b/>
          <w:lang w:val="ka-GE"/>
        </w:rPr>
      </w:pPr>
      <w:r w:rsidRPr="00F35783">
        <w:rPr>
          <w:b/>
          <w:lang w:val="ka-GE"/>
        </w:rPr>
        <w:t>საქართველოს ეროვნული ბანკის პრეზიდენტის</w:t>
      </w:r>
    </w:p>
    <w:p w14:paraId="6CE170E8" w14:textId="77777777" w:rsidR="00A65C43" w:rsidRPr="00F35783" w:rsidRDefault="00A65C43" w:rsidP="00A65C43">
      <w:pPr>
        <w:jc w:val="center"/>
        <w:rPr>
          <w:b/>
          <w:lang w:val="ka-GE"/>
        </w:rPr>
      </w:pPr>
      <w:r w:rsidRPr="00F35783">
        <w:rPr>
          <w:b/>
          <w:lang w:val="ka-GE"/>
        </w:rPr>
        <w:t>ბრძანება  №</w:t>
      </w:r>
    </w:p>
    <w:p w14:paraId="1FB572FD" w14:textId="77777777" w:rsidR="00A65C43" w:rsidRPr="00F35783" w:rsidRDefault="00496CB0" w:rsidP="00A65C43">
      <w:pPr>
        <w:jc w:val="center"/>
        <w:rPr>
          <w:b/>
          <w:lang w:val="ka-GE"/>
        </w:rPr>
      </w:pPr>
      <w:r>
        <w:rPr>
          <w:b/>
          <w:lang w:val="ka-GE"/>
        </w:rPr>
        <w:t>„</w:t>
      </w:r>
      <w:r w:rsidRPr="00496CB0">
        <w:rPr>
          <w:b/>
          <w:lang w:val="ka-GE"/>
        </w:rPr>
        <w:t>კომერციული ბანკების მიერ აქტივების კლასიფიკაციისა და შესაძლო დანაკარგების რეზერვების შექმნისა და გამოყენების წესის დამტკიცების შესახებ</w:t>
      </w:r>
      <w:r w:rsidR="00A65C43">
        <w:rPr>
          <w:b/>
          <w:lang w:val="ka-GE"/>
        </w:rPr>
        <w:t xml:space="preserve">“ </w:t>
      </w:r>
      <w:r w:rsidR="00A65C43" w:rsidRPr="00F35783">
        <w:rPr>
          <w:b/>
          <w:lang w:val="ka-GE"/>
        </w:rPr>
        <w:t>საქართველოს ეროვნული ბანკის პრეზიდენტის</w:t>
      </w:r>
      <w:r w:rsidR="00A65C43">
        <w:rPr>
          <w:b/>
          <w:lang w:val="ka-GE"/>
        </w:rPr>
        <w:t xml:space="preserve"> 2017</w:t>
      </w:r>
      <w:r w:rsidR="00A65C43" w:rsidRPr="00F35783">
        <w:rPr>
          <w:b/>
          <w:lang w:val="ka-GE"/>
        </w:rPr>
        <w:t xml:space="preserve"> წლის </w:t>
      </w:r>
      <w:r>
        <w:rPr>
          <w:b/>
          <w:lang w:val="ka-GE"/>
        </w:rPr>
        <w:t>10 აგვისტოს №117</w:t>
      </w:r>
      <w:r w:rsidR="00A65C43" w:rsidRPr="00F35783">
        <w:rPr>
          <w:b/>
          <w:lang w:val="ka-GE"/>
        </w:rPr>
        <w:t>/04 ბრძანებაში ცვლილების შეტანის თაობაზე</w:t>
      </w:r>
    </w:p>
    <w:p w14:paraId="0F090D62" w14:textId="77777777" w:rsidR="00A65C43" w:rsidRDefault="00A65C43" w:rsidP="00A65C43">
      <w:pPr>
        <w:jc w:val="both"/>
        <w:rPr>
          <w:lang w:val="ka-GE"/>
        </w:rPr>
      </w:pPr>
      <w:r w:rsidRPr="00F35783">
        <w:rPr>
          <w:lang w:val="ka-GE"/>
        </w:rPr>
        <w:t>„ნორმატიული აქტების შესახებ“ საქართველოს ორგანული კანონის მე-20 მუხლის მე-4 პუნქტისა და „საქართველოს ეროვნული ბანკის შესახებ“ საქართველოს ორგანული კანონის მე-15 მუხლის პირველი პუნქტის „ზ“ ქვეპუნქტის საფუძველზე, ვბრძანებ:</w:t>
      </w:r>
    </w:p>
    <w:p w14:paraId="0E821BEE" w14:textId="041FD365" w:rsidR="005826F1" w:rsidRDefault="00A65C43" w:rsidP="00A65C43">
      <w:pPr>
        <w:jc w:val="both"/>
        <w:rPr>
          <w:lang w:val="ka-GE"/>
        </w:rPr>
      </w:pPr>
      <w:r w:rsidRPr="00A65C43">
        <w:rPr>
          <w:b/>
          <w:lang w:val="ka-GE"/>
        </w:rPr>
        <w:t>მუხლი 1.</w:t>
      </w:r>
      <w:r>
        <w:rPr>
          <w:lang w:val="ka-GE"/>
        </w:rPr>
        <w:t xml:space="preserve"> </w:t>
      </w:r>
      <w:r w:rsidR="00496CB0" w:rsidRPr="00496CB0">
        <w:rPr>
          <w:lang w:val="ka-GE"/>
        </w:rPr>
        <w:t>„კომერციული ბანკების მიერ აქტივების კლასიფიკაციისა და შესაძლო დანაკარგების რეზერვების შექმნისა და გამოყენების წესის დამტკიცების შესახებ“ საქართველოს ეროვნული ბანკის პრეზიდენტის 2017 წლის 10 აგვისტოს №117/04 ბრძანებაში</w:t>
      </w:r>
      <w:r>
        <w:rPr>
          <w:lang w:val="ka-GE"/>
        </w:rPr>
        <w:t xml:space="preserve"> (</w:t>
      </w:r>
      <w:hyperlink r:id="rId9" w:history="1">
        <w:r w:rsidRPr="00380E27">
          <w:rPr>
            <w:rStyle w:val="Hyperlink"/>
          </w:rPr>
          <w:t>www.matsne.gov.ge</w:t>
        </w:r>
      </w:hyperlink>
      <w:r>
        <w:t xml:space="preserve">; </w:t>
      </w:r>
      <w:r w:rsidR="00496CB0" w:rsidRPr="00496CB0">
        <w:t>11/08/2017</w:t>
      </w:r>
      <w:r>
        <w:t xml:space="preserve">; </w:t>
      </w:r>
      <w:r>
        <w:rPr>
          <w:lang w:val="ka-GE"/>
        </w:rPr>
        <w:t xml:space="preserve">ს/კ: </w:t>
      </w:r>
      <w:r w:rsidR="00496CB0" w:rsidRPr="00496CB0">
        <w:rPr>
          <w:lang w:val="ka-GE"/>
        </w:rPr>
        <w:t>200020000.18.011.016253</w:t>
      </w:r>
      <w:r>
        <w:rPr>
          <w:lang w:val="ka-GE"/>
        </w:rPr>
        <w:t xml:space="preserve">) შეტანილ იქნეს ცვლილება და </w:t>
      </w:r>
      <w:r w:rsidR="00807F3C">
        <w:rPr>
          <w:lang w:val="ka-GE"/>
        </w:rPr>
        <w:t>ბრძანებით დამტკიცებული წესის</w:t>
      </w:r>
      <w:r w:rsidR="005826F1">
        <w:rPr>
          <w:lang w:val="ka-GE"/>
        </w:rPr>
        <w:t>:</w:t>
      </w:r>
    </w:p>
    <w:p w14:paraId="53FD6A82" w14:textId="7BECDE17" w:rsidR="005826F1" w:rsidRPr="00630AEB" w:rsidRDefault="00630AEB" w:rsidP="00A65C43">
      <w:pPr>
        <w:jc w:val="both"/>
        <w:rPr>
          <w:b/>
          <w:lang w:val="ka-GE"/>
        </w:rPr>
      </w:pPr>
      <w:r w:rsidRPr="00630AEB">
        <w:rPr>
          <w:b/>
        </w:rPr>
        <w:t xml:space="preserve">1. </w:t>
      </w:r>
      <w:r w:rsidRPr="00630AEB">
        <w:rPr>
          <w:b/>
          <w:lang w:val="ka-GE"/>
        </w:rPr>
        <w:t>მე-2 მუხლის მე-6 პუნქტის „გ“ ქვეპუნქტი ჩამოყალიბდეს შემდეგი რედაქციით:</w:t>
      </w:r>
    </w:p>
    <w:p w14:paraId="491119D5" w14:textId="17FD4B3A" w:rsidR="00630AEB" w:rsidRPr="00630AEB" w:rsidRDefault="00630AEB" w:rsidP="00A65C43">
      <w:pPr>
        <w:jc w:val="both"/>
        <w:rPr>
          <w:lang w:val="ka-GE"/>
        </w:rPr>
      </w:pPr>
      <w:r>
        <w:rPr>
          <w:lang w:val="ka-GE"/>
        </w:rPr>
        <w:t>„</w:t>
      </w:r>
      <w:r w:rsidRPr="00630AEB">
        <w:rPr>
          <w:lang w:val="ka-GE"/>
        </w:rPr>
        <w:t xml:space="preserve">გ) ძირითადი თანხის ან პროცენტის შემცირება (მათ შორის რეფინანსირება), რაც არ არის მსესხებლის მიერ გადახდის შედეგი, მათ შორის ისეთი შემთხვევები, როდესაც მსესხებელმა დაფარა პროცენტები ან ძირითადი თანხა თავისი, სხვა ან </w:t>
      </w:r>
      <w:r w:rsidR="004F634F">
        <w:rPr>
          <w:lang w:val="ka-GE"/>
        </w:rPr>
        <w:t xml:space="preserve"> </w:t>
      </w:r>
      <w:r w:rsidRPr="00630AEB">
        <w:rPr>
          <w:lang w:val="ka-GE"/>
        </w:rPr>
        <w:t>ურთიერთდაკავშირებულ</w:t>
      </w:r>
      <w:r w:rsidR="004F634F">
        <w:rPr>
          <w:lang w:val="ka-GE"/>
        </w:rPr>
        <w:t xml:space="preserve"> მსესხებელთა</w:t>
      </w:r>
      <w:r w:rsidRPr="00630AEB">
        <w:rPr>
          <w:lang w:val="ka-GE"/>
        </w:rPr>
        <w:t xml:space="preserve"> ჯგუფის სხვა წევრების მიერ აღებული სესხებით;</w:t>
      </w:r>
      <w:r>
        <w:rPr>
          <w:lang w:val="ka-GE"/>
        </w:rPr>
        <w:t>“.</w:t>
      </w:r>
    </w:p>
    <w:p w14:paraId="6953284A" w14:textId="3C7C274E" w:rsidR="00A65C43" w:rsidRPr="005826F1" w:rsidRDefault="005B09E8" w:rsidP="00A65C43">
      <w:pPr>
        <w:jc w:val="both"/>
        <w:rPr>
          <w:b/>
          <w:lang w:val="ka-GE"/>
        </w:rPr>
      </w:pPr>
      <w:r>
        <w:rPr>
          <w:b/>
          <w:lang w:val="ka-GE"/>
        </w:rPr>
        <w:t>2</w:t>
      </w:r>
      <w:r w:rsidR="005826F1" w:rsidRPr="005826F1">
        <w:rPr>
          <w:b/>
          <w:lang w:val="ka-GE"/>
        </w:rPr>
        <w:t>.</w:t>
      </w:r>
      <w:r w:rsidR="00496CB0" w:rsidRPr="005826F1">
        <w:rPr>
          <w:b/>
          <w:lang w:val="ka-GE"/>
        </w:rPr>
        <w:t xml:space="preserve"> მე-3 მუხლს დაემატოს შემდეგი შინაარსის მე-16 პუნქტი:</w:t>
      </w:r>
    </w:p>
    <w:p w14:paraId="78914598" w14:textId="77777777" w:rsidR="005826F1" w:rsidRDefault="00496CB0" w:rsidP="00A65C43">
      <w:pPr>
        <w:jc w:val="both"/>
        <w:rPr>
          <w:lang w:val="ka-GE"/>
        </w:rPr>
      </w:pPr>
      <w:r>
        <w:rPr>
          <w:lang w:val="ka-GE"/>
        </w:rPr>
        <w:t>„16.</w:t>
      </w:r>
      <w:r w:rsidR="00C61880">
        <w:rPr>
          <w:lang w:val="ka-GE"/>
        </w:rPr>
        <w:t xml:space="preserve"> </w:t>
      </w:r>
      <w:r w:rsidR="00C61880" w:rsidRPr="00C61880">
        <w:rPr>
          <w:lang w:val="ka-GE"/>
        </w:rPr>
        <w:t>ურთიერთდაკავშირებულ მსესხებელთა ჯგუფი</w:t>
      </w:r>
      <w:r>
        <w:rPr>
          <w:lang w:val="ka-GE"/>
        </w:rPr>
        <w:t xml:space="preserve"> განსაზ</w:t>
      </w:r>
      <w:r w:rsidR="007E4365">
        <w:rPr>
          <w:lang w:val="ka-GE"/>
        </w:rPr>
        <w:t>ღვრონ</w:t>
      </w:r>
      <w:r w:rsidR="00C61880">
        <w:rPr>
          <w:lang w:val="ka-GE"/>
        </w:rPr>
        <w:t xml:space="preserve"> </w:t>
      </w:r>
      <w:r w:rsidR="00500D1A" w:rsidRPr="00500D1A">
        <w:rPr>
          <w:lang w:val="ka-GE"/>
        </w:rPr>
        <w:t xml:space="preserve">„კომერციულ ბანკებში რისკის პოზიციების კონცენტრაციისა და მსხვილი რისკების შესახებ დებულების დამტკიცების თაობაზე“ საქართველოს ეროვნული ბანკის პრეზიდენტის 2019 წლის 21 ნოემბრის №228/04 </w:t>
      </w:r>
      <w:r w:rsidR="000D42B9">
        <w:rPr>
          <w:lang w:val="ka-GE"/>
        </w:rPr>
        <w:t xml:space="preserve">ბრძანებით დამტკიცებული </w:t>
      </w:r>
      <w:r w:rsidR="007E4365">
        <w:rPr>
          <w:lang w:val="ka-GE"/>
        </w:rPr>
        <w:t>დებულების შესაბამისად.“.</w:t>
      </w:r>
    </w:p>
    <w:p w14:paraId="17F0D538" w14:textId="656F7DBD" w:rsidR="005826F1" w:rsidRPr="005826F1" w:rsidRDefault="005B09E8" w:rsidP="00A65C43">
      <w:pPr>
        <w:jc w:val="both"/>
        <w:rPr>
          <w:b/>
          <w:lang w:val="ka-GE"/>
        </w:rPr>
      </w:pPr>
      <w:r>
        <w:rPr>
          <w:b/>
          <w:lang w:val="ka-GE"/>
        </w:rPr>
        <w:t>3.</w:t>
      </w:r>
      <w:r w:rsidR="005826F1" w:rsidRPr="005826F1">
        <w:rPr>
          <w:b/>
          <w:lang w:val="ka-GE"/>
        </w:rPr>
        <w:t xml:space="preserve"> მე-4 მუხლის მე-6 პუნქტი ჩამოყალიბდეს შემდეგი რედაქციით:</w:t>
      </w:r>
    </w:p>
    <w:p w14:paraId="11526855" w14:textId="06B2E5FC" w:rsidR="005826F1" w:rsidRDefault="005826F1" w:rsidP="005826F1">
      <w:pPr>
        <w:jc w:val="both"/>
        <w:rPr>
          <w:lang w:val="ka-GE"/>
        </w:rPr>
      </w:pPr>
      <w:r>
        <w:rPr>
          <w:lang w:val="ka-GE"/>
        </w:rPr>
        <w:t>„</w:t>
      </w:r>
      <w:r w:rsidRPr="005826F1">
        <w:rPr>
          <w:lang w:val="ka-GE"/>
        </w:rPr>
        <w:t xml:space="preserve">6.  მსესხებლის და </w:t>
      </w:r>
      <w:r>
        <w:rPr>
          <w:lang w:val="ka-GE"/>
        </w:rPr>
        <w:t>ურთიერთ</w:t>
      </w:r>
      <w:r w:rsidRPr="005826F1">
        <w:rPr>
          <w:lang w:val="ka-GE"/>
        </w:rPr>
        <w:t xml:space="preserve">დაკავშირებულ </w:t>
      </w:r>
      <w:r>
        <w:rPr>
          <w:lang w:val="ka-GE"/>
        </w:rPr>
        <w:t xml:space="preserve">მსესხებელთა </w:t>
      </w:r>
      <w:r w:rsidRPr="005826F1">
        <w:rPr>
          <w:lang w:val="ka-GE"/>
        </w:rPr>
        <w:t>ჯგუფის ყველა მიმდინარე სესხს, როგორც წესი, უნდა მიენიჭოს ერთი კატეგორია. გამონაკლისი შემთხვევები უნდა იყოს არგუმენტირებული და სრულყოფილად დოკუმენტირებული.</w:t>
      </w:r>
      <w:r w:rsidR="003A4258">
        <w:rPr>
          <w:lang w:val="ka-GE"/>
        </w:rPr>
        <w:t>“</w:t>
      </w:r>
      <w:bookmarkStart w:id="0" w:name="_GoBack"/>
      <w:bookmarkEnd w:id="0"/>
    </w:p>
    <w:p w14:paraId="5645E851" w14:textId="588C19D0" w:rsidR="005826F1" w:rsidRPr="005826F1" w:rsidRDefault="005B09E8" w:rsidP="005826F1">
      <w:pPr>
        <w:jc w:val="both"/>
        <w:rPr>
          <w:b/>
          <w:lang w:val="ka-GE"/>
        </w:rPr>
      </w:pPr>
      <w:r>
        <w:rPr>
          <w:b/>
          <w:lang w:val="ka-GE"/>
        </w:rPr>
        <w:t>4</w:t>
      </w:r>
      <w:r w:rsidR="005826F1" w:rsidRPr="005826F1">
        <w:rPr>
          <w:b/>
          <w:lang w:val="ka-GE"/>
        </w:rPr>
        <w:t>. მე-15 მუხლის მე-3 პუნქტი ჩამოყალიბდეს შემდეგი რედაქციით:</w:t>
      </w:r>
    </w:p>
    <w:p w14:paraId="025244DD" w14:textId="0BF9FA9C" w:rsidR="005826F1" w:rsidRDefault="005826F1" w:rsidP="005826F1">
      <w:pPr>
        <w:jc w:val="both"/>
        <w:rPr>
          <w:lang w:val="ka-GE"/>
        </w:rPr>
      </w:pPr>
      <w:r>
        <w:rPr>
          <w:lang w:val="ka-GE"/>
        </w:rPr>
        <w:lastRenderedPageBreak/>
        <w:t xml:space="preserve">„3. </w:t>
      </w:r>
      <w:r w:rsidRPr="005826F1">
        <w:rPr>
          <w:lang w:val="ka-GE"/>
        </w:rPr>
        <w:t xml:space="preserve">მსესხებლისა და </w:t>
      </w:r>
      <w:r>
        <w:rPr>
          <w:lang w:val="ka-GE"/>
        </w:rPr>
        <w:t>ურთიერთ</w:t>
      </w:r>
      <w:r w:rsidRPr="005826F1">
        <w:rPr>
          <w:lang w:val="ka-GE"/>
        </w:rPr>
        <w:t xml:space="preserve">დაკავშირებულ </w:t>
      </w:r>
      <w:r>
        <w:rPr>
          <w:lang w:val="ka-GE"/>
        </w:rPr>
        <w:t xml:space="preserve">მსესხებელთა </w:t>
      </w:r>
      <w:r w:rsidRPr="005826F1">
        <w:rPr>
          <w:lang w:val="ka-GE"/>
        </w:rPr>
        <w:t xml:space="preserve">ჯგუფის სესხების ნეგატიურად კლასიფიკაციის შემთხვევაში, კომერციული ბანკი ვალდებულია გაითვალისწინოს </w:t>
      </w:r>
      <w:r w:rsidR="005B09E8">
        <w:rPr>
          <w:lang w:val="ka-GE"/>
        </w:rPr>
        <w:t xml:space="preserve">აღნიშნული </w:t>
      </w:r>
      <w:r w:rsidRPr="005826F1">
        <w:rPr>
          <w:lang w:val="ka-GE"/>
        </w:rPr>
        <w:t>ჯგუფის მიმართ არსებული სხვა რისკებიც (ინვესტიციები და სხვა აქტივები).</w:t>
      </w:r>
      <w:r>
        <w:rPr>
          <w:lang w:val="ka-GE"/>
        </w:rPr>
        <w:t>“.</w:t>
      </w:r>
    </w:p>
    <w:p w14:paraId="6BB1F249" w14:textId="79F092E6" w:rsidR="005B09E8" w:rsidRPr="005B09E8" w:rsidRDefault="005B09E8" w:rsidP="005826F1">
      <w:pPr>
        <w:jc w:val="both"/>
        <w:rPr>
          <w:b/>
          <w:lang w:val="ka-GE"/>
        </w:rPr>
      </w:pPr>
      <w:r w:rsidRPr="005B09E8">
        <w:rPr>
          <w:b/>
          <w:lang w:val="ka-GE"/>
        </w:rPr>
        <w:t>5. მე-17 მუხლის პირველი პუნქტი და პირველი პუნქტის „ა“ ქვეპუნქტი ჩამოყალიბდეს შემდეგი რედაქციით:</w:t>
      </w:r>
    </w:p>
    <w:p w14:paraId="1335DCC9" w14:textId="100FD824" w:rsidR="005B09E8" w:rsidRPr="005B09E8" w:rsidRDefault="005B09E8" w:rsidP="005B09E8">
      <w:pPr>
        <w:jc w:val="both"/>
        <w:rPr>
          <w:lang w:val="ka-GE"/>
        </w:rPr>
      </w:pPr>
      <w:r>
        <w:rPr>
          <w:lang w:val="ka-GE"/>
        </w:rPr>
        <w:t>„</w:t>
      </w:r>
      <w:r w:rsidRPr="005B09E8">
        <w:rPr>
          <w:lang w:val="ka-GE"/>
        </w:rPr>
        <w:t>1. ეროვნული ბანკის შეფასებით ბიზნესიდან მიღებული შემოსავლების გათვალისწინებით გაცემული მსესხებლის/</w:t>
      </w:r>
      <w:r>
        <w:rPr>
          <w:lang w:val="ka-GE"/>
        </w:rPr>
        <w:t>ურთიერთ</w:t>
      </w:r>
      <w:r w:rsidR="00E7589A">
        <w:rPr>
          <w:lang w:val="ka-GE"/>
        </w:rPr>
        <w:t>დ</w:t>
      </w:r>
      <w:r>
        <w:rPr>
          <w:lang w:val="ka-GE"/>
        </w:rPr>
        <w:t xml:space="preserve">აკავშირებულ </w:t>
      </w:r>
      <w:r w:rsidRPr="005B09E8">
        <w:rPr>
          <w:lang w:val="ka-GE"/>
        </w:rPr>
        <w:t>მსესხებელ</w:t>
      </w:r>
      <w:r>
        <w:rPr>
          <w:lang w:val="ka-GE"/>
        </w:rPr>
        <w:t>თა</w:t>
      </w:r>
      <w:r w:rsidRPr="005B09E8">
        <w:rPr>
          <w:lang w:val="ka-GE"/>
        </w:rPr>
        <w:t xml:space="preserve"> ჯგუფის ფინანსური მაჩვენებლები რისკ სექტორების მიხედვით რეკომენდებულია, აკმაყოფილებდეს წინამდებარე წესის დანართ №2-ში მოცემულ ცხრილ №3-სა და ცხრილ №4-ში წარმოდგენილ კოეფიციენტებს:</w:t>
      </w:r>
    </w:p>
    <w:p w14:paraId="7BC6C4F9" w14:textId="1624F529" w:rsidR="00A07F48" w:rsidRDefault="005B09E8" w:rsidP="005B09E8">
      <w:pPr>
        <w:jc w:val="both"/>
        <w:rPr>
          <w:lang w:val="ka-GE"/>
        </w:rPr>
      </w:pPr>
      <w:r w:rsidRPr="005B09E8">
        <w:rPr>
          <w:lang w:val="ka-GE"/>
        </w:rPr>
        <w:t xml:space="preserve">ა) მსესხებელი, </w:t>
      </w:r>
      <w:r>
        <w:rPr>
          <w:lang w:val="ka-GE"/>
        </w:rPr>
        <w:t xml:space="preserve">ურთიერთდაკავშირებულ </w:t>
      </w:r>
      <w:r w:rsidRPr="005B09E8">
        <w:rPr>
          <w:lang w:val="ka-GE"/>
        </w:rPr>
        <w:t>მსესხებელ</w:t>
      </w:r>
      <w:r>
        <w:rPr>
          <w:lang w:val="ka-GE"/>
        </w:rPr>
        <w:t xml:space="preserve">თა </w:t>
      </w:r>
      <w:r w:rsidRPr="005B09E8">
        <w:rPr>
          <w:lang w:val="ka-GE"/>
        </w:rPr>
        <w:t>ჯგუფი უნდა  ინარჩუნებდეს წინამდებარე წესის დანართ №2-ში მოცემულ ცხრილ №3-სა და ცხრილ №4-ში წარმოდგენილ კოეფიციენტებს ვალუტის გაცვლითი კურსის 20 პროცენტიანი  რყევის შემთხვევაში,  რამაც შესაძლოა გამოიწვიოს ვალის ტვირთის, საოპერაციო ხარჯების ზრდა ან სხვა პარამეტრების გაუარესება;</w:t>
      </w:r>
      <w:r>
        <w:rPr>
          <w:lang w:val="ka-GE"/>
        </w:rPr>
        <w:t>“.</w:t>
      </w:r>
    </w:p>
    <w:p w14:paraId="0379B047" w14:textId="5F28C694" w:rsidR="005826F1" w:rsidRPr="00A07F48" w:rsidRDefault="00A07F48" w:rsidP="00A65C43">
      <w:pPr>
        <w:jc w:val="both"/>
        <w:rPr>
          <w:b/>
          <w:lang w:val="ka-GE"/>
        </w:rPr>
      </w:pPr>
      <w:r w:rsidRPr="00A07F48">
        <w:rPr>
          <w:b/>
          <w:lang w:val="ka-GE"/>
        </w:rPr>
        <w:t>6. დანართ</w:t>
      </w:r>
      <w:r w:rsidR="00C05678">
        <w:rPr>
          <w:b/>
          <w:lang w:val="ka-GE"/>
        </w:rPr>
        <w:t>ები</w:t>
      </w:r>
      <w:r w:rsidRPr="00A07F48">
        <w:rPr>
          <w:b/>
          <w:lang w:val="ka-GE"/>
        </w:rPr>
        <w:t xml:space="preserve"> ჩამოყალიბდეს თანდართული დანართ</w:t>
      </w:r>
      <w:r w:rsidR="00C05678">
        <w:rPr>
          <w:b/>
          <w:lang w:val="ka-GE"/>
        </w:rPr>
        <w:t>ებ</w:t>
      </w:r>
      <w:r w:rsidR="00196AAB">
        <w:rPr>
          <w:b/>
          <w:lang w:val="ka-GE"/>
        </w:rPr>
        <w:t>ის</w:t>
      </w:r>
      <w:r w:rsidRPr="00A07F48">
        <w:rPr>
          <w:b/>
          <w:lang w:val="ka-GE"/>
        </w:rPr>
        <w:t xml:space="preserve"> შესაბამისად.</w:t>
      </w:r>
    </w:p>
    <w:p w14:paraId="363D87DC" w14:textId="62ACBD8E" w:rsidR="000D42B9" w:rsidRDefault="000D42B9" w:rsidP="00A65C43">
      <w:pPr>
        <w:jc w:val="both"/>
        <w:rPr>
          <w:b/>
          <w:lang w:val="ka-GE"/>
        </w:rPr>
      </w:pPr>
    </w:p>
    <w:p w14:paraId="7191C8C1" w14:textId="77777777" w:rsidR="00807F3C" w:rsidRPr="00F35783" w:rsidRDefault="00807F3C" w:rsidP="00807F3C">
      <w:pPr>
        <w:jc w:val="both"/>
        <w:rPr>
          <w:lang w:val="ka-GE"/>
        </w:rPr>
      </w:pPr>
      <w:r w:rsidRPr="00F35783">
        <w:rPr>
          <w:b/>
          <w:lang w:val="ka-GE"/>
        </w:rPr>
        <w:t>მუხლი 2.</w:t>
      </w:r>
      <w:r w:rsidRPr="00F35783">
        <w:rPr>
          <w:lang w:val="ka-GE"/>
        </w:rPr>
        <w:t xml:space="preserve"> ეს ბრძანება ამოქმედდეს </w:t>
      </w:r>
      <w:r w:rsidRPr="004518C8">
        <w:rPr>
          <w:lang w:val="ka-GE"/>
        </w:rPr>
        <w:t>გამოქვეყნებისთანავე.</w:t>
      </w:r>
    </w:p>
    <w:p w14:paraId="00CF790C" w14:textId="77777777" w:rsidR="00807F3C" w:rsidRPr="00F35783" w:rsidRDefault="00807F3C" w:rsidP="00807F3C">
      <w:pPr>
        <w:jc w:val="both"/>
        <w:rPr>
          <w:lang w:val="ka-GE"/>
        </w:rPr>
      </w:pPr>
    </w:p>
    <w:p w14:paraId="32636840" w14:textId="77777777" w:rsidR="00807F3C" w:rsidRPr="00F35783" w:rsidRDefault="00807F3C" w:rsidP="00807F3C">
      <w:pPr>
        <w:jc w:val="both"/>
        <w:rPr>
          <w:lang w:val="ka-GE"/>
        </w:rPr>
      </w:pPr>
      <w:r w:rsidRPr="00F35783">
        <w:rPr>
          <w:lang w:val="ka-GE"/>
        </w:rPr>
        <w:t>საქართველოს ეროვნული ბანკის პრეზიდენტი                                    კობა გვენეტაძე</w:t>
      </w:r>
    </w:p>
    <w:p w14:paraId="2AA31D25" w14:textId="77777777" w:rsidR="00807F3C" w:rsidRPr="000D42B9" w:rsidRDefault="00807F3C" w:rsidP="00A65C43">
      <w:pPr>
        <w:jc w:val="both"/>
        <w:rPr>
          <w:b/>
          <w:lang w:val="ka-GE"/>
        </w:rPr>
      </w:pPr>
    </w:p>
    <w:p w14:paraId="4EA1D4C4" w14:textId="77777777" w:rsidR="00D74728" w:rsidRPr="00A65C43" w:rsidRDefault="00D74728" w:rsidP="00A65C43">
      <w:pPr>
        <w:jc w:val="both"/>
        <w:rPr>
          <w:lang w:val="ka-GE"/>
        </w:rPr>
      </w:pPr>
    </w:p>
    <w:p w14:paraId="316C4DDD" w14:textId="77777777" w:rsidR="00A65C43" w:rsidRDefault="00A65C43" w:rsidP="00A65C43">
      <w:pPr>
        <w:jc w:val="center"/>
      </w:pPr>
    </w:p>
    <w:p w14:paraId="22F3F399" w14:textId="77777777" w:rsidR="00397C86" w:rsidRDefault="00397C86" w:rsidP="00A65C43">
      <w:pPr>
        <w:jc w:val="center"/>
      </w:pPr>
    </w:p>
    <w:p w14:paraId="03D50608" w14:textId="77777777" w:rsidR="00397C86" w:rsidRDefault="00397C86" w:rsidP="00A65C43">
      <w:pPr>
        <w:jc w:val="center"/>
      </w:pPr>
    </w:p>
    <w:p w14:paraId="1E552565" w14:textId="77777777" w:rsidR="00397C86" w:rsidRDefault="00397C86" w:rsidP="00A65C43">
      <w:pPr>
        <w:jc w:val="center"/>
      </w:pPr>
    </w:p>
    <w:p w14:paraId="438847EB" w14:textId="77777777" w:rsidR="00397C86" w:rsidRDefault="00397C86" w:rsidP="003A2436"/>
    <w:p w14:paraId="5E3BCD00" w14:textId="77777777" w:rsidR="00397C86" w:rsidRDefault="00397C86" w:rsidP="00A65C43">
      <w:pPr>
        <w:jc w:val="center"/>
      </w:pPr>
    </w:p>
    <w:p w14:paraId="4394B621" w14:textId="77777777" w:rsidR="004518C8" w:rsidRDefault="004518C8" w:rsidP="003D650C">
      <w:pPr>
        <w:spacing w:line="20" w:lineRule="atLeast"/>
        <w:ind w:right="288"/>
        <w:jc w:val="center"/>
        <w:rPr>
          <w:lang w:val="ka-GE"/>
        </w:rPr>
      </w:pPr>
    </w:p>
    <w:p w14:paraId="38ACBE46" w14:textId="77777777" w:rsidR="004518C8" w:rsidRDefault="004518C8" w:rsidP="003D650C">
      <w:pPr>
        <w:spacing w:line="20" w:lineRule="atLeast"/>
        <w:ind w:right="288"/>
        <w:jc w:val="center"/>
        <w:rPr>
          <w:lang w:val="ka-GE"/>
        </w:rPr>
      </w:pPr>
    </w:p>
    <w:p w14:paraId="342C28B0" w14:textId="77777777" w:rsidR="004518C8" w:rsidRDefault="004518C8" w:rsidP="003D650C">
      <w:pPr>
        <w:spacing w:line="20" w:lineRule="atLeast"/>
        <w:ind w:right="288"/>
        <w:jc w:val="center"/>
        <w:rPr>
          <w:lang w:val="ka-GE"/>
        </w:rPr>
      </w:pPr>
    </w:p>
    <w:p w14:paraId="37344F8B" w14:textId="560C6283" w:rsidR="003D650C" w:rsidRDefault="003D650C" w:rsidP="003D650C">
      <w:pPr>
        <w:spacing w:line="20" w:lineRule="atLeast"/>
        <w:ind w:right="288"/>
        <w:jc w:val="center"/>
        <w:rPr>
          <w:lang w:val="ka-GE"/>
        </w:rPr>
      </w:pPr>
      <w:r>
        <w:rPr>
          <w:lang w:val="ka-GE"/>
        </w:rPr>
        <w:lastRenderedPageBreak/>
        <w:t>განმარტებითი ბარათი</w:t>
      </w:r>
    </w:p>
    <w:p w14:paraId="6CDC5977" w14:textId="77777777" w:rsidR="003D650C" w:rsidRDefault="003D650C" w:rsidP="003D650C">
      <w:pPr>
        <w:spacing w:line="20" w:lineRule="atLeast"/>
        <w:ind w:right="288"/>
        <w:jc w:val="center"/>
        <w:rPr>
          <w:lang w:val="ka-GE"/>
        </w:rPr>
      </w:pPr>
    </w:p>
    <w:p w14:paraId="5C611F7E" w14:textId="77777777" w:rsidR="003D650C" w:rsidRDefault="003D650C" w:rsidP="003D650C">
      <w:pPr>
        <w:jc w:val="center"/>
        <w:rPr>
          <w:b/>
          <w:lang w:val="ka-GE"/>
        </w:rPr>
      </w:pPr>
      <w:r>
        <w:rPr>
          <w:b/>
          <w:lang w:val="ka-GE"/>
        </w:rPr>
        <w:t>„</w:t>
      </w:r>
      <w:r w:rsidRPr="00CF6546">
        <w:rPr>
          <w:b/>
          <w:lang w:val="ka-GE"/>
        </w:rPr>
        <w:t>კომერციული ბანკების მიერ აქტივების კლასიფიკაციისა და შესაძლო დანაკარგების რეზერვების</w:t>
      </w:r>
      <w:r>
        <w:rPr>
          <w:b/>
          <w:lang w:val="ka-GE"/>
        </w:rPr>
        <w:t xml:space="preserve"> </w:t>
      </w:r>
      <w:r w:rsidRPr="00CF6546">
        <w:rPr>
          <w:b/>
          <w:lang w:val="ka-GE"/>
        </w:rPr>
        <w:t>შექმნისა და გამოყენების წესის დამტკიცების შესახებ</w:t>
      </w:r>
      <w:r>
        <w:rPr>
          <w:b/>
          <w:lang w:val="ka-GE"/>
        </w:rPr>
        <w:t>“</w:t>
      </w:r>
      <w:r w:rsidRPr="0072192C">
        <w:rPr>
          <w:b/>
          <w:lang w:val="ka-GE"/>
        </w:rPr>
        <w:t xml:space="preserve"> საქართველოს ეროვნული ბანკის პრეზიდენტის</w:t>
      </w:r>
      <w:r>
        <w:rPr>
          <w:b/>
          <w:lang w:val="ka-GE"/>
        </w:rPr>
        <w:t xml:space="preserve"> 2017 წლის 10 აგვისტოს №117</w:t>
      </w:r>
      <w:r w:rsidRPr="0072192C">
        <w:rPr>
          <w:b/>
          <w:lang w:val="ka-GE"/>
        </w:rPr>
        <w:t>/04</w:t>
      </w:r>
      <w:r>
        <w:rPr>
          <w:b/>
          <w:lang w:val="ka-GE"/>
        </w:rPr>
        <w:t xml:space="preserve"> </w:t>
      </w:r>
      <w:r w:rsidRPr="0072192C">
        <w:rPr>
          <w:b/>
          <w:lang w:val="ka-GE"/>
        </w:rPr>
        <w:t>ბრძანება</w:t>
      </w:r>
      <w:r>
        <w:rPr>
          <w:b/>
          <w:lang w:val="ka-GE"/>
        </w:rPr>
        <w:t xml:space="preserve">ში </w:t>
      </w:r>
      <w:r w:rsidRPr="00FC658F">
        <w:rPr>
          <w:b/>
          <w:lang w:val="ka-GE"/>
        </w:rPr>
        <w:t>ცვლილების</w:t>
      </w:r>
      <w:r>
        <w:rPr>
          <w:b/>
          <w:lang w:val="ka-GE"/>
        </w:rPr>
        <w:t xml:space="preserve"> </w:t>
      </w:r>
      <w:r w:rsidRPr="00FC658F">
        <w:rPr>
          <w:b/>
          <w:lang w:val="ka-GE"/>
        </w:rPr>
        <w:t xml:space="preserve">შეტანის </w:t>
      </w:r>
      <w:r>
        <w:rPr>
          <w:b/>
          <w:lang w:val="ka-GE"/>
        </w:rPr>
        <w:t>თაობაზე“</w:t>
      </w:r>
      <w:r>
        <w:rPr>
          <w:b/>
        </w:rPr>
        <w:t xml:space="preserve"> </w:t>
      </w:r>
      <w:r>
        <w:rPr>
          <w:b/>
          <w:lang w:val="ka-GE"/>
        </w:rPr>
        <w:t>საქართველოს ეროვნული ბანკის პრეზიდენტის ბრძანების პროექტთან დაკავშირებით</w:t>
      </w:r>
      <w:r w:rsidRPr="0072192C">
        <w:rPr>
          <w:b/>
          <w:lang w:val="ka-GE"/>
        </w:rPr>
        <w:t xml:space="preserve"> </w:t>
      </w:r>
    </w:p>
    <w:p w14:paraId="150208F5" w14:textId="77777777" w:rsidR="003D650C" w:rsidRDefault="003D650C" w:rsidP="003D650C">
      <w:pPr>
        <w:jc w:val="both"/>
        <w:rPr>
          <w:rFonts w:cstheme="minorHAnsi"/>
        </w:rPr>
      </w:pPr>
    </w:p>
    <w:p w14:paraId="0A1E4CDD" w14:textId="1D21AD66" w:rsidR="003D650C" w:rsidRDefault="003D650C" w:rsidP="003D650C">
      <w:pPr>
        <w:ind w:firstLine="720"/>
        <w:jc w:val="both"/>
        <w:rPr>
          <w:rFonts w:cstheme="minorHAnsi"/>
          <w:lang w:val="ka-GE"/>
        </w:rPr>
      </w:pPr>
      <w:r w:rsidRPr="00F94E63">
        <w:rPr>
          <w:rFonts w:cstheme="minorHAnsi"/>
        </w:rPr>
        <w:t xml:space="preserve">„კომერციულ ბანკებში რისკის პოზიციების კონცენტრაციისა და მსხვილი რისკების შესახებ დებულების დამტკიცების თაობაზე“ საქართველოს ეროვნული ბანკის პრეზიდენტის 2019 წლის 21 ნოემბრის №228/04 </w:t>
      </w:r>
      <w:r>
        <w:rPr>
          <w:rFonts w:cstheme="minorHAnsi"/>
        </w:rPr>
        <w:t>ბრძანებ</w:t>
      </w:r>
      <w:r>
        <w:rPr>
          <w:rFonts w:cstheme="minorHAnsi"/>
          <w:lang w:val="ka-GE"/>
        </w:rPr>
        <w:t>ის შესაბამისად</w:t>
      </w:r>
      <w:r w:rsidRPr="00F94E63">
        <w:rPr>
          <w:rFonts w:cstheme="minorHAnsi"/>
        </w:rPr>
        <w:t xml:space="preserve"> </w:t>
      </w:r>
      <w:r w:rsidRPr="00F94E63">
        <w:rPr>
          <w:rFonts w:cstheme="minorHAnsi"/>
          <w:lang w:val="ka-GE"/>
        </w:rPr>
        <w:t xml:space="preserve">შემუშავდა </w:t>
      </w:r>
      <w:r w:rsidRPr="00F35783">
        <w:rPr>
          <w:lang w:val="ka-GE"/>
        </w:rPr>
        <w:t xml:space="preserve">ურთიერთდაკავშირებულ მსესხებელთა ჯგუფის </w:t>
      </w:r>
      <w:r>
        <w:rPr>
          <w:lang w:val="ka-GE"/>
        </w:rPr>
        <w:t xml:space="preserve">განსაზღვრის </w:t>
      </w:r>
      <w:r w:rsidRPr="00F94E63">
        <w:rPr>
          <w:rFonts w:cstheme="minorHAnsi"/>
          <w:lang w:val="ka-GE"/>
        </w:rPr>
        <w:t>ინსტრუქცია, რომელშიც დეტალურად გაიწერა პრინციპები</w:t>
      </w:r>
      <w:r>
        <w:rPr>
          <w:rFonts w:cstheme="minorHAnsi"/>
          <w:lang w:val="ka-GE"/>
        </w:rPr>
        <w:t>,</w:t>
      </w:r>
      <w:r w:rsidRPr="00F94E63">
        <w:rPr>
          <w:rFonts w:cstheme="minorHAnsi"/>
          <w:lang w:val="ka-GE"/>
        </w:rPr>
        <w:t xml:space="preserve"> რომლებზე დაყრდნობითაც უნდა </w:t>
      </w:r>
      <w:r>
        <w:rPr>
          <w:rFonts w:cstheme="minorHAnsi"/>
          <w:lang w:val="ka-GE"/>
        </w:rPr>
        <w:t xml:space="preserve">განხორციელდეს </w:t>
      </w:r>
      <w:r w:rsidRPr="00F94E63">
        <w:rPr>
          <w:rFonts w:cstheme="minorHAnsi"/>
          <w:lang w:val="ka-GE"/>
        </w:rPr>
        <w:t xml:space="preserve">დაკავშირებული მსესხებლების ერთ ჯგუფად </w:t>
      </w:r>
      <w:r>
        <w:rPr>
          <w:rFonts w:cstheme="minorHAnsi"/>
          <w:lang w:val="ka-GE"/>
        </w:rPr>
        <w:t>აღრიცხვა.</w:t>
      </w:r>
      <w:r w:rsidRPr="00F94E63">
        <w:rPr>
          <w:rFonts w:cstheme="minorHAnsi"/>
          <w:lang w:val="ka-GE"/>
        </w:rPr>
        <w:t xml:space="preserve"> </w:t>
      </w:r>
      <w:r w:rsidRPr="00A96E05">
        <w:rPr>
          <w:rFonts w:cstheme="minorHAnsi"/>
          <w:lang w:val="ka-GE"/>
        </w:rPr>
        <w:t>კომერციული ბანკების მიერ აქტივების კლასიფიკაციისა და შესაძლო დანაკარგების რეზერვების</w:t>
      </w:r>
      <w:r>
        <w:rPr>
          <w:rFonts w:cstheme="minorHAnsi"/>
          <w:lang w:val="ka-GE"/>
        </w:rPr>
        <w:t xml:space="preserve"> </w:t>
      </w:r>
      <w:r w:rsidRPr="00A96E05">
        <w:rPr>
          <w:rFonts w:cstheme="minorHAnsi"/>
          <w:lang w:val="ka-GE"/>
        </w:rPr>
        <w:t xml:space="preserve">შექმნისა და გამოყენების </w:t>
      </w:r>
      <w:r w:rsidRPr="002F2402">
        <w:rPr>
          <w:rFonts w:cstheme="minorHAnsi"/>
          <w:lang w:val="ka-GE"/>
        </w:rPr>
        <w:t>წეს</w:t>
      </w:r>
      <w:r>
        <w:rPr>
          <w:rFonts w:cstheme="minorHAnsi"/>
          <w:lang w:val="ka-GE"/>
        </w:rPr>
        <w:t>ის მიზნებისთვის გამოყენებული ურთიერთდაკავშირებული მსესხებელთა ჯგუფები ფორმირებული უნდა იყოს ზემოთ აღნიშნული ინსტრუქციის საფუძველზე, შესაბამისად, აღნიშნული საკითხი აისახა მოცემული ბრძანების პროექტშიც.</w:t>
      </w:r>
    </w:p>
    <w:p w14:paraId="4D1019EE" w14:textId="4E50733E" w:rsidR="005B09E8" w:rsidRDefault="005B09E8" w:rsidP="003D650C">
      <w:pPr>
        <w:ind w:firstLine="720"/>
        <w:jc w:val="both"/>
        <w:rPr>
          <w:rFonts w:cstheme="minorHAnsi"/>
          <w:lang w:val="ka-GE"/>
        </w:rPr>
      </w:pPr>
      <w:r>
        <w:rPr>
          <w:rFonts w:cstheme="minorHAnsi"/>
          <w:lang w:val="ka-GE"/>
        </w:rPr>
        <w:t>ბრძანების პროექტით ასევე ზუსტდება ურთიერთაკავშირებულ მსესხებელთა ჯგუფის ტერმინი ყველა შესაბამის პუნქტ</w:t>
      </w:r>
      <w:r w:rsidR="00466924">
        <w:rPr>
          <w:rFonts w:cstheme="minorHAnsi"/>
          <w:lang w:val="ka-GE"/>
        </w:rPr>
        <w:t>სა და დანართში</w:t>
      </w:r>
      <w:r>
        <w:rPr>
          <w:rFonts w:cstheme="minorHAnsi"/>
          <w:lang w:val="ka-GE"/>
        </w:rPr>
        <w:t>.</w:t>
      </w:r>
    </w:p>
    <w:p w14:paraId="4777740E" w14:textId="77777777" w:rsidR="003D650C" w:rsidRDefault="003D650C" w:rsidP="003D650C">
      <w:pPr>
        <w:spacing w:line="360" w:lineRule="auto"/>
        <w:ind w:right="70" w:firstLine="720"/>
        <w:jc w:val="both"/>
        <w:rPr>
          <w:rFonts w:eastAsia="Calibri"/>
          <w:lang w:val="ka-GE"/>
        </w:rPr>
      </w:pPr>
      <w:r>
        <w:rPr>
          <w:rFonts w:cs="Sylfaen"/>
          <w:lang w:val="ka-GE"/>
        </w:rPr>
        <w:t xml:space="preserve">ბრძანების </w:t>
      </w:r>
      <w:r>
        <w:rPr>
          <w:rFonts w:eastAsia="Sylfaen" w:cs="Sylfaen"/>
          <w:lang w:val="ka-GE"/>
        </w:rPr>
        <w:t>პროექტის მიღება არ იქონიებს გავლენას სახელმწიფო ბიუჯეტის ხარჯვით</w:t>
      </w:r>
      <w:r>
        <w:rPr>
          <w:rFonts w:eastAsia="Sylfaen" w:cs="Sylfaen"/>
          <w:spacing w:val="-5"/>
          <w:lang w:val="ka-GE"/>
        </w:rPr>
        <w:t xml:space="preserve"> </w:t>
      </w:r>
      <w:r>
        <w:rPr>
          <w:rFonts w:eastAsia="Sylfaen" w:cs="Sylfaen"/>
          <w:lang w:val="ka-GE"/>
        </w:rPr>
        <w:t>ნაწილზე</w:t>
      </w:r>
      <w:r>
        <w:rPr>
          <w:rFonts w:eastAsia="Calibri"/>
          <w:lang w:val="ka-GE"/>
        </w:rPr>
        <w:t>.</w:t>
      </w:r>
    </w:p>
    <w:p w14:paraId="4CAC18A6" w14:textId="77777777" w:rsidR="003D650C" w:rsidRDefault="003D650C" w:rsidP="003D650C">
      <w:pPr>
        <w:spacing w:line="360" w:lineRule="auto"/>
        <w:ind w:right="70" w:firstLine="720"/>
        <w:jc w:val="both"/>
        <w:rPr>
          <w:rFonts w:eastAsia="Calibri"/>
          <w:lang w:val="ka-GE"/>
        </w:rPr>
      </w:pPr>
      <w:r>
        <w:rPr>
          <w:rFonts w:eastAsia="Calibri"/>
          <w:lang w:val="ka-GE"/>
        </w:rPr>
        <w:t>ბრძანების პროექტის ავტორი და წარმდგენია საქართველოს ეროვნული ბანკი.</w:t>
      </w:r>
    </w:p>
    <w:p w14:paraId="013A70CD" w14:textId="77777777" w:rsidR="003D650C" w:rsidRDefault="003D650C" w:rsidP="00397C86">
      <w:pPr>
        <w:spacing w:line="20" w:lineRule="atLeast"/>
        <w:ind w:right="288"/>
        <w:jc w:val="center"/>
        <w:rPr>
          <w:lang w:val="ka-GE"/>
        </w:rPr>
      </w:pPr>
    </w:p>
    <w:p w14:paraId="3A060971" w14:textId="77777777" w:rsidR="003D650C" w:rsidRDefault="003D650C" w:rsidP="00397C86">
      <w:pPr>
        <w:spacing w:line="20" w:lineRule="atLeast"/>
        <w:ind w:right="288"/>
        <w:jc w:val="center"/>
        <w:rPr>
          <w:lang w:val="ka-GE"/>
        </w:rPr>
      </w:pPr>
    </w:p>
    <w:p w14:paraId="14A50AE6" w14:textId="77777777" w:rsidR="003D650C" w:rsidRDefault="003D650C" w:rsidP="00397C86">
      <w:pPr>
        <w:spacing w:line="20" w:lineRule="atLeast"/>
        <w:ind w:right="288"/>
        <w:jc w:val="center"/>
        <w:rPr>
          <w:lang w:val="ka-GE"/>
        </w:rPr>
      </w:pPr>
    </w:p>
    <w:p w14:paraId="1A9FC624" w14:textId="77777777" w:rsidR="003D650C" w:rsidRDefault="003D650C" w:rsidP="00397C86">
      <w:pPr>
        <w:spacing w:line="20" w:lineRule="atLeast"/>
        <w:ind w:right="288"/>
        <w:jc w:val="center"/>
        <w:rPr>
          <w:lang w:val="ka-GE"/>
        </w:rPr>
      </w:pPr>
    </w:p>
    <w:p w14:paraId="7E810979" w14:textId="77777777" w:rsidR="00397C86" w:rsidRPr="0072192C" w:rsidRDefault="00397C86" w:rsidP="00397C86">
      <w:pPr>
        <w:jc w:val="center"/>
        <w:rPr>
          <w:b/>
          <w:lang w:val="ka-GE"/>
        </w:rPr>
      </w:pPr>
    </w:p>
    <w:p w14:paraId="37556237" w14:textId="77777777" w:rsidR="00397C86" w:rsidRPr="00A65C43" w:rsidRDefault="00397C86" w:rsidP="00A65C43">
      <w:pPr>
        <w:jc w:val="center"/>
      </w:pPr>
    </w:p>
    <w:sectPr w:rsidR="00397C86" w:rsidRPr="00A65C43" w:rsidSect="009A2DBA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1B3D0" w14:textId="77777777" w:rsidR="006A4DD4" w:rsidRDefault="006A4DD4" w:rsidP="00A65C43">
      <w:pPr>
        <w:spacing w:after="0" w:line="240" w:lineRule="auto"/>
      </w:pPr>
      <w:r>
        <w:separator/>
      </w:r>
    </w:p>
  </w:endnote>
  <w:endnote w:type="continuationSeparator" w:id="0">
    <w:p w14:paraId="590C07E1" w14:textId="77777777" w:rsidR="006A4DD4" w:rsidRDefault="006A4DD4" w:rsidP="00A6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8CBFF" w14:textId="77777777" w:rsidR="006A4DD4" w:rsidRDefault="006A4DD4" w:rsidP="00A65C43">
      <w:pPr>
        <w:spacing w:after="0" w:line="240" w:lineRule="auto"/>
      </w:pPr>
      <w:r>
        <w:separator/>
      </w:r>
    </w:p>
  </w:footnote>
  <w:footnote w:type="continuationSeparator" w:id="0">
    <w:p w14:paraId="4689EDC5" w14:textId="77777777" w:rsidR="006A4DD4" w:rsidRDefault="006A4DD4" w:rsidP="00A65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D0D12"/>
    <w:multiLevelType w:val="hybridMultilevel"/>
    <w:tmpl w:val="3A26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6"/>
    <w:rsid w:val="00053588"/>
    <w:rsid w:val="000D42B9"/>
    <w:rsid w:val="001219F5"/>
    <w:rsid w:val="00196AAB"/>
    <w:rsid w:val="001E1AE2"/>
    <w:rsid w:val="001E3BBA"/>
    <w:rsid w:val="0024416F"/>
    <w:rsid w:val="00397C86"/>
    <w:rsid w:val="003A2436"/>
    <w:rsid w:val="003A4258"/>
    <w:rsid w:val="003D650C"/>
    <w:rsid w:val="004518C8"/>
    <w:rsid w:val="00466924"/>
    <w:rsid w:val="00496CB0"/>
    <w:rsid w:val="004A132B"/>
    <w:rsid w:val="004F634F"/>
    <w:rsid w:val="00500D1A"/>
    <w:rsid w:val="00575AFA"/>
    <w:rsid w:val="005826F1"/>
    <w:rsid w:val="005A395C"/>
    <w:rsid w:val="005B09E8"/>
    <w:rsid w:val="00630AEB"/>
    <w:rsid w:val="006810CB"/>
    <w:rsid w:val="006A4DD4"/>
    <w:rsid w:val="007818CC"/>
    <w:rsid w:val="007E4365"/>
    <w:rsid w:val="00807F3C"/>
    <w:rsid w:val="008717D2"/>
    <w:rsid w:val="00893EE7"/>
    <w:rsid w:val="00917566"/>
    <w:rsid w:val="009A2DBA"/>
    <w:rsid w:val="009D18C1"/>
    <w:rsid w:val="00A07F48"/>
    <w:rsid w:val="00A65C43"/>
    <w:rsid w:val="00A97244"/>
    <w:rsid w:val="00AF7DBA"/>
    <w:rsid w:val="00C05678"/>
    <w:rsid w:val="00C2010F"/>
    <w:rsid w:val="00C61880"/>
    <w:rsid w:val="00CF4F0B"/>
    <w:rsid w:val="00D02C6B"/>
    <w:rsid w:val="00D2480E"/>
    <w:rsid w:val="00D74728"/>
    <w:rsid w:val="00E00B38"/>
    <w:rsid w:val="00E2036D"/>
    <w:rsid w:val="00E6337B"/>
    <w:rsid w:val="00E7589A"/>
    <w:rsid w:val="00E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70AAF"/>
  <w15:chartTrackingRefBased/>
  <w15:docId w15:val="{71CD59F3-A24E-4BEC-B9C0-9D2FEBC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C43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A65C43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C43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5C4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5C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10F"/>
  </w:style>
  <w:style w:type="paragraph" w:styleId="Footer">
    <w:name w:val="footer"/>
    <w:basedOn w:val="Normal"/>
    <w:link w:val="FooterChar"/>
    <w:uiPriority w:val="99"/>
    <w:unhideWhenUsed/>
    <w:rsid w:val="00C2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1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365"/>
    <w:rPr>
      <w:rFonts w:ascii="Sylfaen" w:hAnsi="Sylfae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365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atsne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HNoZXRzaXJ1bGk8L1VzZXJOYW1lPjxEYXRlVGltZT40LzI4LzIwMjIgMTA6NTI6NTc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B981817B-968F-4880-9763-F977E48FDDC0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AE24A38-41AE-4A33-B4BB-2A47F27901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Shetsiruli</dc:creator>
  <cp:keywords/>
  <dc:description/>
  <cp:lastModifiedBy>Giorgi Chechelashvili</cp:lastModifiedBy>
  <cp:revision>4</cp:revision>
  <dcterms:created xsi:type="dcterms:W3CDTF">2022-05-10T11:42:00Z</dcterms:created>
  <dcterms:modified xsi:type="dcterms:W3CDTF">2022-08-15T12:11:00Z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df20b18a-b2da-4c33-985f-22e5076a6905</vt:lpwstr>
  </property>
  <property fmtid="{D5CDD505-2E9C-101B-9397-08002B2CF9AE}" pid="3" name="bjSaver">
    <vt:lpwstr>m4M7KNQqdChOMjlnybKxCthwPycq0pLa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{B981817B-968F-4880-9763-F977E48FDDC0}</vt:lpwstr>
  </property>
</Properties>
</file>